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C87C3" w14:textId="77777777" w:rsidR="00AF2B29" w:rsidRPr="000420F5" w:rsidRDefault="001D032A">
      <w:pPr>
        <w:jc w:val="both"/>
        <w:rPr>
          <w:rFonts w:ascii="Arial" w:hAnsi="Arial" w:cs="Arial"/>
        </w:rPr>
      </w:pPr>
      <w:bookmarkStart w:id="0" w:name="_Hlk518986450"/>
      <w:bookmarkEnd w:id="0"/>
      <w:r w:rsidRPr="000420F5">
        <w:rPr>
          <w:noProof/>
          <w:lang w:eastAsia="en-GB"/>
        </w:rPr>
        <w:drawing>
          <wp:anchor distT="0" distB="0" distL="114300" distR="114300" simplePos="0" relativeHeight="251658752" behindDoc="0" locked="0" layoutInCell="1" allowOverlap="1" wp14:anchorId="171BCCFD" wp14:editId="2093B6D7">
            <wp:simplePos x="0" y="0"/>
            <wp:positionH relativeFrom="column">
              <wp:posOffset>-361950</wp:posOffset>
            </wp:positionH>
            <wp:positionV relativeFrom="page">
              <wp:posOffset>349885</wp:posOffset>
            </wp:positionV>
            <wp:extent cx="1586230" cy="697865"/>
            <wp:effectExtent l="0" t="0" r="0" b="6985"/>
            <wp:wrapNone/>
            <wp:docPr id="21" name="Picture 3" descr="Trust logo -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ust logo - F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6230" cy="697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20F5">
        <w:rPr>
          <w:rFonts w:ascii="Arial" w:hAnsi="Arial" w:cs="Arial"/>
          <w:noProof/>
          <w:lang w:eastAsia="en-GB"/>
        </w:rPr>
        <w:drawing>
          <wp:anchor distT="0" distB="0" distL="114300" distR="114300" simplePos="0" relativeHeight="251656704" behindDoc="0" locked="0" layoutInCell="1" allowOverlap="1" wp14:anchorId="5DDA2108" wp14:editId="14322253">
            <wp:simplePos x="0" y="0"/>
            <wp:positionH relativeFrom="column">
              <wp:posOffset>3314700</wp:posOffset>
            </wp:positionH>
            <wp:positionV relativeFrom="paragraph">
              <wp:posOffset>-114300</wp:posOffset>
            </wp:positionV>
            <wp:extent cx="3117215" cy="456565"/>
            <wp:effectExtent l="0" t="0" r="6985" b="635"/>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7215" cy="456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F136DB" w14:textId="77777777" w:rsidR="00AF2B29" w:rsidRPr="000420F5" w:rsidRDefault="00AF2B29">
      <w:pPr>
        <w:ind w:right="-355"/>
        <w:jc w:val="center"/>
        <w:rPr>
          <w:rFonts w:ascii="Arial" w:hAnsi="Arial" w:cs="Arial"/>
          <w:b/>
          <w:sz w:val="28"/>
          <w:szCs w:val="28"/>
        </w:rPr>
      </w:pPr>
    </w:p>
    <w:p w14:paraId="54D2426E" w14:textId="77777777" w:rsidR="00556DA3" w:rsidRPr="000420F5" w:rsidRDefault="00556DA3">
      <w:pPr>
        <w:ind w:right="-355"/>
        <w:jc w:val="center"/>
        <w:rPr>
          <w:rFonts w:ascii="Arial" w:hAnsi="Arial" w:cs="Arial"/>
          <w:b/>
          <w:sz w:val="28"/>
          <w:szCs w:val="28"/>
        </w:rPr>
      </w:pPr>
    </w:p>
    <w:p w14:paraId="214B4BC2" w14:textId="6BF6624A" w:rsidR="00556DA3" w:rsidRPr="000420F5" w:rsidRDefault="00A544AA">
      <w:pPr>
        <w:ind w:right="-355"/>
        <w:jc w:val="center"/>
        <w:rPr>
          <w:rFonts w:ascii="Arial" w:hAnsi="Arial" w:cs="Arial"/>
          <w:b/>
          <w:sz w:val="28"/>
          <w:szCs w:val="28"/>
        </w:rPr>
      </w:pPr>
      <w:r>
        <w:rPr>
          <w:rFonts w:ascii="Arial" w:hAnsi="Arial" w:cs="Arial"/>
          <w:b/>
          <w:sz w:val="28"/>
          <w:szCs w:val="28"/>
        </w:rPr>
        <w:t>Trust Board</w:t>
      </w:r>
    </w:p>
    <w:p w14:paraId="60A60420" w14:textId="2D4B13ED" w:rsidR="00556DA3" w:rsidRDefault="00A544AA" w:rsidP="00A36CF9">
      <w:pPr>
        <w:ind w:right="-355"/>
        <w:jc w:val="center"/>
        <w:rPr>
          <w:rFonts w:ascii="Arial" w:hAnsi="Arial" w:cs="Arial"/>
          <w:b/>
          <w:sz w:val="28"/>
          <w:szCs w:val="28"/>
        </w:rPr>
      </w:pPr>
      <w:r>
        <w:rPr>
          <w:rFonts w:ascii="Arial" w:hAnsi="Arial" w:cs="Arial"/>
          <w:b/>
          <w:sz w:val="28"/>
          <w:szCs w:val="28"/>
        </w:rPr>
        <w:t>26</w:t>
      </w:r>
      <w:r w:rsidR="00627BC7" w:rsidRPr="00627BC7">
        <w:rPr>
          <w:rFonts w:ascii="Arial" w:hAnsi="Arial" w:cs="Arial"/>
          <w:b/>
          <w:sz w:val="28"/>
          <w:szCs w:val="28"/>
          <w:vertAlign w:val="superscript"/>
        </w:rPr>
        <w:t>th</w:t>
      </w:r>
      <w:r w:rsidR="00627BC7">
        <w:rPr>
          <w:rFonts w:ascii="Arial" w:hAnsi="Arial" w:cs="Arial"/>
          <w:b/>
          <w:sz w:val="28"/>
          <w:szCs w:val="28"/>
        </w:rPr>
        <w:t xml:space="preserve"> November 2019</w:t>
      </w:r>
    </w:p>
    <w:p w14:paraId="367D249C" w14:textId="77777777" w:rsidR="00627BC7" w:rsidRPr="000420F5" w:rsidRDefault="00627BC7" w:rsidP="00A36CF9">
      <w:pPr>
        <w:ind w:right="-355"/>
        <w:jc w:val="center"/>
        <w:rPr>
          <w:rFonts w:ascii="Arial" w:hAnsi="Arial" w:cs="Arial"/>
          <w:b/>
          <w:sz w:val="28"/>
          <w:szCs w:val="28"/>
        </w:rPr>
      </w:pPr>
      <w:bookmarkStart w:id="1" w:name="_GoBack"/>
      <w:bookmarkEnd w:id="1"/>
    </w:p>
    <w:p w14:paraId="5BF937BC" w14:textId="77777777" w:rsidR="00AF2B29" w:rsidRPr="000420F5" w:rsidRDefault="00AF2B29" w:rsidP="00A36CF9">
      <w:pPr>
        <w:ind w:right="-355"/>
        <w:jc w:val="center"/>
        <w:rPr>
          <w:rFonts w:ascii="Arial" w:hAnsi="Arial" w:cs="Arial"/>
          <w:b/>
          <w:sz w:val="28"/>
          <w:szCs w:val="28"/>
        </w:rPr>
      </w:pPr>
      <w:r w:rsidRPr="000420F5">
        <w:rPr>
          <w:rFonts w:ascii="Arial" w:hAnsi="Arial" w:cs="Arial"/>
          <w:b/>
          <w:sz w:val="28"/>
          <w:szCs w:val="28"/>
        </w:rPr>
        <w:t>Finance Performance Report</w:t>
      </w:r>
    </w:p>
    <w:p w14:paraId="02DC07A9" w14:textId="4D73F3B4" w:rsidR="00AF2B29" w:rsidRPr="000420F5" w:rsidRDefault="00AF2B29" w:rsidP="00A36CF9">
      <w:pPr>
        <w:tabs>
          <w:tab w:val="left" w:pos="360"/>
        </w:tabs>
        <w:jc w:val="center"/>
        <w:outlineLvl w:val="0"/>
        <w:rPr>
          <w:rFonts w:ascii="Arial" w:hAnsi="Arial" w:cs="Arial"/>
          <w:b/>
          <w:sz w:val="24"/>
        </w:rPr>
      </w:pPr>
      <w:r w:rsidRPr="000420F5">
        <w:rPr>
          <w:rFonts w:ascii="Arial" w:hAnsi="Arial" w:cs="Arial"/>
          <w:b/>
          <w:sz w:val="24"/>
        </w:rPr>
        <w:t xml:space="preserve">Month </w:t>
      </w:r>
      <w:r w:rsidR="005A4350">
        <w:rPr>
          <w:rFonts w:ascii="Arial" w:hAnsi="Arial" w:cs="Arial"/>
          <w:b/>
          <w:sz w:val="24"/>
        </w:rPr>
        <w:t>0</w:t>
      </w:r>
      <w:r w:rsidR="007843C1">
        <w:rPr>
          <w:rFonts w:ascii="Arial" w:hAnsi="Arial" w:cs="Arial"/>
          <w:b/>
          <w:sz w:val="24"/>
        </w:rPr>
        <w:t>7</w:t>
      </w:r>
      <w:r w:rsidR="00083C6B" w:rsidRPr="000420F5">
        <w:rPr>
          <w:rFonts w:ascii="Arial" w:hAnsi="Arial" w:cs="Arial"/>
          <w:b/>
          <w:sz w:val="24"/>
        </w:rPr>
        <w:t xml:space="preserve"> – p</w:t>
      </w:r>
      <w:r w:rsidRPr="000420F5">
        <w:rPr>
          <w:rFonts w:ascii="Arial" w:hAnsi="Arial" w:cs="Arial"/>
          <w:b/>
          <w:sz w:val="24"/>
        </w:rPr>
        <w:t>eriod end</w:t>
      </w:r>
      <w:r w:rsidR="00C857F8" w:rsidRPr="000420F5">
        <w:rPr>
          <w:rFonts w:ascii="Arial" w:hAnsi="Arial" w:cs="Arial"/>
          <w:b/>
          <w:sz w:val="24"/>
        </w:rPr>
        <w:t>ed</w:t>
      </w:r>
      <w:r w:rsidRPr="000420F5">
        <w:rPr>
          <w:rFonts w:ascii="Arial" w:hAnsi="Arial" w:cs="Arial"/>
          <w:b/>
          <w:sz w:val="24"/>
        </w:rPr>
        <w:t xml:space="preserve"> </w:t>
      </w:r>
      <w:r w:rsidR="005A4350">
        <w:rPr>
          <w:rFonts w:ascii="Arial" w:hAnsi="Arial" w:cs="Arial"/>
          <w:b/>
          <w:sz w:val="24"/>
        </w:rPr>
        <w:t>3</w:t>
      </w:r>
      <w:r w:rsidR="007843C1">
        <w:rPr>
          <w:rFonts w:ascii="Arial" w:hAnsi="Arial" w:cs="Arial"/>
          <w:b/>
          <w:sz w:val="24"/>
        </w:rPr>
        <w:t>1</w:t>
      </w:r>
      <w:r w:rsidR="007843C1" w:rsidRPr="007843C1">
        <w:rPr>
          <w:rFonts w:ascii="Arial" w:hAnsi="Arial" w:cs="Arial"/>
          <w:b/>
          <w:sz w:val="24"/>
          <w:vertAlign w:val="superscript"/>
        </w:rPr>
        <w:t>st</w:t>
      </w:r>
      <w:r w:rsidR="007843C1">
        <w:rPr>
          <w:rFonts w:ascii="Arial" w:hAnsi="Arial" w:cs="Arial"/>
          <w:b/>
          <w:sz w:val="24"/>
        </w:rPr>
        <w:t xml:space="preserve"> October</w:t>
      </w:r>
      <w:r w:rsidR="00FA03E6">
        <w:rPr>
          <w:rFonts w:ascii="Arial" w:hAnsi="Arial" w:cs="Arial"/>
          <w:b/>
          <w:sz w:val="24"/>
        </w:rPr>
        <w:t xml:space="preserve"> 2019</w:t>
      </w:r>
    </w:p>
    <w:p w14:paraId="4E1E8223" w14:textId="77777777" w:rsidR="00AF2B29" w:rsidRPr="000420F5" w:rsidRDefault="00AF2B29">
      <w:pPr>
        <w:tabs>
          <w:tab w:val="left" w:pos="360"/>
        </w:tabs>
        <w:jc w:val="center"/>
        <w:outlineLvl w:val="0"/>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5376"/>
      </w:tblGrid>
      <w:tr w:rsidR="00AF2B29" w:rsidRPr="000420F5" w14:paraId="3C61FAAC" w14:textId="77777777" w:rsidTr="00EF48E4">
        <w:trPr>
          <w:jc w:val="center"/>
        </w:trPr>
        <w:tc>
          <w:tcPr>
            <w:tcW w:w="1011" w:type="dxa"/>
            <w:tcBorders>
              <w:top w:val="single" w:sz="4" w:space="0" w:color="auto"/>
              <w:left w:val="single" w:sz="4" w:space="0" w:color="auto"/>
              <w:bottom w:val="single" w:sz="4" w:space="0" w:color="auto"/>
              <w:right w:val="single" w:sz="4" w:space="0" w:color="auto"/>
            </w:tcBorders>
          </w:tcPr>
          <w:p w14:paraId="037344D9" w14:textId="77777777" w:rsidR="00AF2B29" w:rsidRPr="000420F5" w:rsidRDefault="00AF2B29">
            <w:pPr>
              <w:spacing w:before="240"/>
              <w:jc w:val="center"/>
              <w:rPr>
                <w:rFonts w:ascii="Arial" w:hAnsi="Arial" w:cs="Arial"/>
                <w:b/>
              </w:rPr>
            </w:pPr>
            <w:r w:rsidRPr="000420F5">
              <w:rPr>
                <w:rFonts w:ascii="Arial" w:hAnsi="Arial" w:cs="Arial"/>
                <w:b/>
              </w:rPr>
              <w:t>Section</w:t>
            </w:r>
          </w:p>
        </w:tc>
        <w:tc>
          <w:tcPr>
            <w:tcW w:w="5376" w:type="dxa"/>
            <w:tcBorders>
              <w:top w:val="single" w:sz="4" w:space="0" w:color="auto"/>
              <w:left w:val="single" w:sz="4" w:space="0" w:color="auto"/>
              <w:bottom w:val="single" w:sz="4" w:space="0" w:color="auto"/>
              <w:right w:val="single" w:sz="4" w:space="0" w:color="auto"/>
            </w:tcBorders>
          </w:tcPr>
          <w:p w14:paraId="7824F1ED" w14:textId="77777777" w:rsidR="00AF2B29" w:rsidRPr="000420F5" w:rsidRDefault="00AF2B29">
            <w:pPr>
              <w:spacing w:before="240"/>
              <w:jc w:val="center"/>
              <w:rPr>
                <w:rFonts w:ascii="Arial" w:hAnsi="Arial" w:cs="Arial"/>
                <w:b/>
              </w:rPr>
            </w:pPr>
            <w:r w:rsidRPr="000420F5">
              <w:rPr>
                <w:rFonts w:ascii="Arial" w:hAnsi="Arial" w:cs="Arial"/>
                <w:b/>
              </w:rPr>
              <w:t>Content</w:t>
            </w:r>
          </w:p>
        </w:tc>
      </w:tr>
      <w:tr w:rsidR="00AF2B29" w:rsidRPr="000420F5" w14:paraId="0A5286C3" w14:textId="77777777" w:rsidTr="00EF48E4">
        <w:trPr>
          <w:jc w:val="center"/>
        </w:trPr>
        <w:tc>
          <w:tcPr>
            <w:tcW w:w="1011" w:type="dxa"/>
            <w:tcBorders>
              <w:top w:val="single" w:sz="4" w:space="0" w:color="auto"/>
              <w:left w:val="single" w:sz="4" w:space="0" w:color="auto"/>
              <w:bottom w:val="single" w:sz="4" w:space="0" w:color="auto"/>
              <w:right w:val="single" w:sz="4" w:space="0" w:color="auto"/>
            </w:tcBorders>
            <w:vAlign w:val="center"/>
          </w:tcPr>
          <w:p w14:paraId="15DA6FC7" w14:textId="77777777" w:rsidR="00AF2B29" w:rsidRPr="000420F5" w:rsidRDefault="00AF2B29">
            <w:pPr>
              <w:spacing w:before="240"/>
              <w:jc w:val="center"/>
              <w:rPr>
                <w:rFonts w:ascii="Arial" w:hAnsi="Arial" w:cs="Arial"/>
                <w:b/>
              </w:rPr>
            </w:pPr>
            <w:r w:rsidRPr="000420F5">
              <w:rPr>
                <w:rFonts w:ascii="Arial" w:hAnsi="Arial" w:cs="Arial"/>
                <w:b/>
              </w:rPr>
              <w:t>1</w:t>
            </w:r>
          </w:p>
        </w:tc>
        <w:tc>
          <w:tcPr>
            <w:tcW w:w="5376" w:type="dxa"/>
            <w:tcBorders>
              <w:top w:val="single" w:sz="4" w:space="0" w:color="auto"/>
              <w:left w:val="single" w:sz="4" w:space="0" w:color="auto"/>
              <w:bottom w:val="single" w:sz="4" w:space="0" w:color="auto"/>
              <w:right w:val="single" w:sz="4" w:space="0" w:color="auto"/>
            </w:tcBorders>
            <w:vAlign w:val="center"/>
          </w:tcPr>
          <w:p w14:paraId="77FEF038" w14:textId="77777777" w:rsidR="00AF2B29" w:rsidRPr="000420F5" w:rsidRDefault="00EF48E4" w:rsidP="00B2244F">
            <w:pPr>
              <w:spacing w:before="240"/>
              <w:jc w:val="center"/>
              <w:rPr>
                <w:rFonts w:ascii="Arial" w:hAnsi="Arial" w:cs="Arial"/>
                <w:b/>
              </w:rPr>
            </w:pPr>
            <w:r>
              <w:rPr>
                <w:rFonts w:ascii="Arial" w:hAnsi="Arial" w:cs="Arial"/>
                <w:b/>
              </w:rPr>
              <w:t>Summary and Key H</w:t>
            </w:r>
            <w:r w:rsidR="00B2244F">
              <w:rPr>
                <w:rFonts w:ascii="Arial" w:hAnsi="Arial" w:cs="Arial"/>
                <w:b/>
              </w:rPr>
              <w:t>eadlines</w:t>
            </w:r>
          </w:p>
        </w:tc>
      </w:tr>
      <w:tr w:rsidR="00AF2B29" w:rsidRPr="000420F5" w14:paraId="1CA846EB" w14:textId="77777777" w:rsidTr="00EF48E4">
        <w:trPr>
          <w:jc w:val="center"/>
        </w:trPr>
        <w:tc>
          <w:tcPr>
            <w:tcW w:w="1011" w:type="dxa"/>
            <w:tcBorders>
              <w:top w:val="single" w:sz="4" w:space="0" w:color="auto"/>
              <w:left w:val="single" w:sz="4" w:space="0" w:color="auto"/>
              <w:bottom w:val="single" w:sz="4" w:space="0" w:color="auto"/>
              <w:right w:val="single" w:sz="4" w:space="0" w:color="auto"/>
            </w:tcBorders>
            <w:vAlign w:val="center"/>
          </w:tcPr>
          <w:p w14:paraId="1B08A868" w14:textId="77777777" w:rsidR="00AF2B29" w:rsidRPr="000420F5" w:rsidRDefault="00AF2B29">
            <w:pPr>
              <w:spacing w:before="240"/>
              <w:jc w:val="center"/>
              <w:rPr>
                <w:rFonts w:ascii="Arial" w:hAnsi="Arial" w:cs="Arial"/>
                <w:b/>
              </w:rPr>
            </w:pPr>
            <w:r w:rsidRPr="000420F5">
              <w:rPr>
                <w:rFonts w:ascii="Arial" w:hAnsi="Arial" w:cs="Arial"/>
                <w:b/>
              </w:rPr>
              <w:t>2</w:t>
            </w:r>
          </w:p>
        </w:tc>
        <w:tc>
          <w:tcPr>
            <w:tcW w:w="5376" w:type="dxa"/>
            <w:tcBorders>
              <w:top w:val="single" w:sz="4" w:space="0" w:color="auto"/>
              <w:left w:val="single" w:sz="4" w:space="0" w:color="auto"/>
              <w:bottom w:val="single" w:sz="4" w:space="0" w:color="auto"/>
              <w:right w:val="single" w:sz="4" w:space="0" w:color="auto"/>
            </w:tcBorders>
            <w:vAlign w:val="center"/>
          </w:tcPr>
          <w:p w14:paraId="36314EC9" w14:textId="77777777" w:rsidR="00AF2B29" w:rsidRPr="000420F5" w:rsidRDefault="00EF48E4" w:rsidP="00EF48E4">
            <w:pPr>
              <w:spacing w:before="240"/>
              <w:jc w:val="center"/>
              <w:rPr>
                <w:rFonts w:ascii="Arial" w:hAnsi="Arial" w:cs="Arial"/>
                <w:b/>
              </w:rPr>
            </w:pPr>
            <w:r>
              <w:rPr>
                <w:rFonts w:ascii="Arial" w:hAnsi="Arial" w:cs="Arial"/>
                <w:b/>
              </w:rPr>
              <w:t>Trust Income and Expenditure</w:t>
            </w:r>
          </w:p>
        </w:tc>
      </w:tr>
      <w:tr w:rsidR="00EF48E4" w:rsidRPr="000420F5" w14:paraId="54CD707A" w14:textId="77777777" w:rsidTr="00EF48E4">
        <w:trPr>
          <w:jc w:val="center"/>
        </w:trPr>
        <w:tc>
          <w:tcPr>
            <w:tcW w:w="1011" w:type="dxa"/>
            <w:tcBorders>
              <w:top w:val="single" w:sz="4" w:space="0" w:color="auto"/>
              <w:left w:val="single" w:sz="4" w:space="0" w:color="auto"/>
              <w:bottom w:val="single" w:sz="4" w:space="0" w:color="auto"/>
              <w:right w:val="single" w:sz="4" w:space="0" w:color="auto"/>
            </w:tcBorders>
            <w:vAlign w:val="center"/>
          </w:tcPr>
          <w:p w14:paraId="7EB56D4C" w14:textId="77777777" w:rsidR="00EF48E4" w:rsidRPr="000420F5" w:rsidRDefault="00EF48E4">
            <w:pPr>
              <w:spacing w:before="240"/>
              <w:jc w:val="center"/>
              <w:rPr>
                <w:rFonts w:ascii="Arial" w:hAnsi="Arial" w:cs="Arial"/>
                <w:b/>
              </w:rPr>
            </w:pPr>
            <w:r w:rsidRPr="000420F5">
              <w:rPr>
                <w:rFonts w:ascii="Arial" w:hAnsi="Arial" w:cs="Arial"/>
                <w:b/>
              </w:rPr>
              <w:t>3</w:t>
            </w:r>
          </w:p>
        </w:tc>
        <w:tc>
          <w:tcPr>
            <w:tcW w:w="5376" w:type="dxa"/>
            <w:tcBorders>
              <w:top w:val="single" w:sz="4" w:space="0" w:color="auto"/>
              <w:left w:val="single" w:sz="4" w:space="0" w:color="auto"/>
              <w:bottom w:val="single" w:sz="4" w:space="0" w:color="auto"/>
              <w:right w:val="single" w:sz="4" w:space="0" w:color="auto"/>
            </w:tcBorders>
            <w:vAlign w:val="center"/>
          </w:tcPr>
          <w:p w14:paraId="112F0B33" w14:textId="77777777" w:rsidR="00EF48E4" w:rsidRPr="000420F5" w:rsidRDefault="00EF48E4" w:rsidP="004C1F1D">
            <w:pPr>
              <w:spacing w:before="240"/>
              <w:jc w:val="center"/>
              <w:rPr>
                <w:rFonts w:ascii="Arial" w:hAnsi="Arial" w:cs="Arial"/>
                <w:b/>
              </w:rPr>
            </w:pPr>
            <w:r w:rsidRPr="000420F5">
              <w:rPr>
                <w:rFonts w:ascii="Arial" w:hAnsi="Arial" w:cs="Arial"/>
                <w:b/>
              </w:rPr>
              <w:t>Contribution Performance and Divisional Commentary</w:t>
            </w:r>
          </w:p>
        </w:tc>
      </w:tr>
      <w:tr w:rsidR="00EF48E4" w:rsidRPr="000420F5" w14:paraId="0D563B90" w14:textId="77777777" w:rsidTr="00EF48E4">
        <w:trPr>
          <w:jc w:val="center"/>
        </w:trPr>
        <w:tc>
          <w:tcPr>
            <w:tcW w:w="1011" w:type="dxa"/>
            <w:tcBorders>
              <w:top w:val="single" w:sz="4" w:space="0" w:color="auto"/>
              <w:left w:val="single" w:sz="4" w:space="0" w:color="auto"/>
              <w:bottom w:val="single" w:sz="4" w:space="0" w:color="auto"/>
              <w:right w:val="single" w:sz="4" w:space="0" w:color="auto"/>
            </w:tcBorders>
            <w:vAlign w:val="center"/>
          </w:tcPr>
          <w:p w14:paraId="6860E710" w14:textId="77777777" w:rsidR="00EF48E4" w:rsidRPr="000420F5" w:rsidRDefault="00EF48E4">
            <w:pPr>
              <w:spacing w:before="240"/>
              <w:jc w:val="center"/>
              <w:rPr>
                <w:rFonts w:ascii="Arial" w:hAnsi="Arial" w:cs="Arial"/>
                <w:b/>
              </w:rPr>
            </w:pPr>
            <w:r w:rsidRPr="000420F5">
              <w:rPr>
                <w:rFonts w:ascii="Arial" w:hAnsi="Arial" w:cs="Arial"/>
                <w:b/>
              </w:rPr>
              <w:t>4</w:t>
            </w:r>
          </w:p>
        </w:tc>
        <w:tc>
          <w:tcPr>
            <w:tcW w:w="5376" w:type="dxa"/>
            <w:tcBorders>
              <w:top w:val="single" w:sz="4" w:space="0" w:color="auto"/>
              <w:left w:val="single" w:sz="4" w:space="0" w:color="auto"/>
              <w:bottom w:val="single" w:sz="4" w:space="0" w:color="auto"/>
              <w:right w:val="single" w:sz="4" w:space="0" w:color="auto"/>
            </w:tcBorders>
            <w:vAlign w:val="center"/>
          </w:tcPr>
          <w:p w14:paraId="688D3C7B" w14:textId="77777777" w:rsidR="00EF48E4" w:rsidRPr="000420F5" w:rsidRDefault="00EF48E4" w:rsidP="004C1F1D">
            <w:pPr>
              <w:spacing w:before="240"/>
              <w:jc w:val="center"/>
              <w:rPr>
                <w:rFonts w:ascii="Arial" w:hAnsi="Arial" w:cs="Arial"/>
                <w:b/>
              </w:rPr>
            </w:pPr>
            <w:r w:rsidRPr="000420F5">
              <w:rPr>
                <w:rFonts w:ascii="Arial" w:hAnsi="Arial" w:cs="Arial"/>
                <w:b/>
              </w:rPr>
              <w:t>Trust Balance Sheet</w:t>
            </w:r>
          </w:p>
        </w:tc>
      </w:tr>
      <w:tr w:rsidR="00AF2B29" w:rsidRPr="000420F5" w14:paraId="41A58BDC" w14:textId="77777777" w:rsidTr="00EF48E4">
        <w:trPr>
          <w:jc w:val="center"/>
        </w:trPr>
        <w:tc>
          <w:tcPr>
            <w:tcW w:w="1011" w:type="dxa"/>
            <w:tcBorders>
              <w:top w:val="single" w:sz="4" w:space="0" w:color="auto"/>
              <w:left w:val="single" w:sz="4" w:space="0" w:color="auto"/>
              <w:bottom w:val="single" w:sz="4" w:space="0" w:color="auto"/>
              <w:right w:val="single" w:sz="4" w:space="0" w:color="auto"/>
            </w:tcBorders>
            <w:vAlign w:val="center"/>
          </w:tcPr>
          <w:p w14:paraId="4037C6F9" w14:textId="77777777" w:rsidR="00AF2B29" w:rsidRPr="000420F5" w:rsidRDefault="00AF2B29">
            <w:pPr>
              <w:spacing w:before="240"/>
              <w:jc w:val="center"/>
              <w:rPr>
                <w:rFonts w:ascii="Arial" w:hAnsi="Arial" w:cs="Arial"/>
                <w:b/>
              </w:rPr>
            </w:pPr>
          </w:p>
        </w:tc>
        <w:tc>
          <w:tcPr>
            <w:tcW w:w="5376" w:type="dxa"/>
            <w:tcBorders>
              <w:top w:val="single" w:sz="4" w:space="0" w:color="auto"/>
              <w:left w:val="single" w:sz="4" w:space="0" w:color="auto"/>
              <w:bottom w:val="single" w:sz="4" w:space="0" w:color="auto"/>
              <w:right w:val="single" w:sz="4" w:space="0" w:color="auto"/>
            </w:tcBorders>
            <w:vAlign w:val="center"/>
          </w:tcPr>
          <w:p w14:paraId="36D9191F" w14:textId="77777777" w:rsidR="00AF2B29" w:rsidRPr="000420F5" w:rsidRDefault="00AF2B29">
            <w:pPr>
              <w:spacing w:before="240"/>
              <w:jc w:val="center"/>
              <w:rPr>
                <w:rFonts w:ascii="Arial" w:hAnsi="Arial" w:cs="Arial"/>
                <w:b/>
              </w:rPr>
            </w:pPr>
            <w:r w:rsidRPr="000420F5">
              <w:rPr>
                <w:rFonts w:ascii="Arial" w:hAnsi="Arial" w:cs="Arial"/>
                <w:b/>
              </w:rPr>
              <w:t>Annexes</w:t>
            </w:r>
          </w:p>
        </w:tc>
      </w:tr>
    </w:tbl>
    <w:p w14:paraId="06F34959" w14:textId="77777777" w:rsidR="00AF2B29" w:rsidRPr="000420F5" w:rsidRDefault="00AF2B29">
      <w:pPr>
        <w:jc w:val="both"/>
        <w:rPr>
          <w:rFonts w:ascii="Arial" w:hAnsi="Arial" w:cs="Arial"/>
          <w:b/>
        </w:rPr>
      </w:pPr>
    </w:p>
    <w:p w14:paraId="3E518751" w14:textId="77777777" w:rsidR="00B2244F" w:rsidRDefault="00AF2B29" w:rsidP="00B2244F">
      <w:pPr>
        <w:pStyle w:val="ListParagraph"/>
        <w:numPr>
          <w:ilvl w:val="0"/>
          <w:numId w:val="17"/>
        </w:numPr>
        <w:spacing w:before="240"/>
        <w:jc w:val="both"/>
        <w:rPr>
          <w:rFonts w:ascii="Arial" w:hAnsi="Arial" w:cs="Arial"/>
          <w:b/>
          <w:sz w:val="24"/>
          <w:szCs w:val="24"/>
        </w:rPr>
      </w:pPr>
      <w:r w:rsidRPr="000420F5">
        <w:rPr>
          <w:rFonts w:ascii="Arial" w:hAnsi="Arial" w:cs="Arial"/>
          <w:b/>
        </w:rPr>
        <w:br w:type="page"/>
      </w:r>
      <w:r w:rsidR="00B2244F" w:rsidRPr="00B2244F">
        <w:rPr>
          <w:rFonts w:ascii="Arial" w:hAnsi="Arial" w:cs="Arial"/>
          <w:b/>
          <w:sz w:val="24"/>
          <w:szCs w:val="24"/>
        </w:rPr>
        <w:lastRenderedPageBreak/>
        <w:t>SUMMARY AND KEY HEADLINES</w:t>
      </w:r>
    </w:p>
    <w:p w14:paraId="42FAD837" w14:textId="39B6E52C" w:rsidR="009A7C06" w:rsidRDefault="003701AA" w:rsidP="005A58A6">
      <w:pPr>
        <w:spacing w:before="240"/>
        <w:jc w:val="both"/>
        <w:rPr>
          <w:rFonts w:ascii="Arial" w:hAnsi="Arial" w:cs="Arial"/>
          <w:sz w:val="20"/>
          <w:szCs w:val="20"/>
        </w:rPr>
      </w:pPr>
      <w:r>
        <w:rPr>
          <w:rFonts w:ascii="Arial" w:hAnsi="Arial" w:cs="Arial"/>
          <w:sz w:val="20"/>
          <w:szCs w:val="20"/>
        </w:rPr>
        <w:t>The in-month deficit</w:t>
      </w:r>
      <w:r w:rsidR="00DC2DBF">
        <w:rPr>
          <w:rFonts w:ascii="Arial" w:hAnsi="Arial" w:cs="Arial"/>
          <w:sz w:val="20"/>
          <w:szCs w:val="20"/>
        </w:rPr>
        <w:t xml:space="preserve">, </w:t>
      </w:r>
      <w:r w:rsidR="00BD30AA">
        <w:rPr>
          <w:rFonts w:ascii="Arial" w:hAnsi="Arial" w:cs="Arial"/>
          <w:sz w:val="20"/>
          <w:szCs w:val="20"/>
        </w:rPr>
        <w:t>(£</w:t>
      </w:r>
      <w:r w:rsidR="006B7307">
        <w:rPr>
          <w:rFonts w:ascii="Arial" w:hAnsi="Arial" w:cs="Arial"/>
          <w:sz w:val="20"/>
          <w:szCs w:val="20"/>
        </w:rPr>
        <w:t>0</w:t>
      </w:r>
      <w:r w:rsidR="00BD30AA">
        <w:rPr>
          <w:rFonts w:ascii="Arial" w:hAnsi="Arial" w:cs="Arial"/>
          <w:sz w:val="20"/>
          <w:szCs w:val="20"/>
        </w:rPr>
        <w:t>.</w:t>
      </w:r>
      <w:r w:rsidR="006B7307">
        <w:rPr>
          <w:rFonts w:ascii="Arial" w:hAnsi="Arial" w:cs="Arial"/>
          <w:sz w:val="20"/>
          <w:szCs w:val="20"/>
        </w:rPr>
        <w:t>6</w:t>
      </w:r>
      <w:r w:rsidR="008F3AC7">
        <w:rPr>
          <w:rFonts w:ascii="Arial" w:hAnsi="Arial" w:cs="Arial"/>
          <w:sz w:val="20"/>
          <w:szCs w:val="20"/>
        </w:rPr>
        <w:t>m</w:t>
      </w:r>
      <w:r>
        <w:rPr>
          <w:rFonts w:ascii="Arial" w:hAnsi="Arial" w:cs="Arial"/>
          <w:sz w:val="20"/>
          <w:szCs w:val="20"/>
        </w:rPr>
        <w:t>)</w:t>
      </w:r>
      <w:r w:rsidR="006260C5">
        <w:rPr>
          <w:rFonts w:ascii="Arial" w:hAnsi="Arial" w:cs="Arial"/>
          <w:sz w:val="20"/>
          <w:szCs w:val="20"/>
        </w:rPr>
        <w:t>,</w:t>
      </w:r>
      <w:r w:rsidR="004B7BFA" w:rsidRPr="000F3612">
        <w:rPr>
          <w:rFonts w:ascii="Arial" w:hAnsi="Arial" w:cs="Arial"/>
          <w:sz w:val="20"/>
          <w:szCs w:val="20"/>
        </w:rPr>
        <w:t xml:space="preserve"> </w:t>
      </w:r>
      <w:r w:rsidR="00E82F20">
        <w:rPr>
          <w:rFonts w:ascii="Arial" w:hAnsi="Arial" w:cs="Arial"/>
          <w:sz w:val="20"/>
          <w:szCs w:val="20"/>
        </w:rPr>
        <w:t>is</w:t>
      </w:r>
      <w:r w:rsidR="00BD30AA">
        <w:rPr>
          <w:rFonts w:ascii="Arial" w:hAnsi="Arial" w:cs="Arial"/>
          <w:sz w:val="20"/>
          <w:szCs w:val="20"/>
        </w:rPr>
        <w:t xml:space="preserve"> </w:t>
      </w:r>
      <w:r w:rsidR="006B7307">
        <w:rPr>
          <w:rFonts w:ascii="Arial" w:hAnsi="Arial" w:cs="Arial"/>
          <w:sz w:val="20"/>
          <w:szCs w:val="20"/>
        </w:rPr>
        <w:t>(</w:t>
      </w:r>
      <w:r w:rsidR="00BD30AA">
        <w:rPr>
          <w:rFonts w:ascii="Arial" w:hAnsi="Arial" w:cs="Arial"/>
          <w:sz w:val="20"/>
          <w:szCs w:val="20"/>
        </w:rPr>
        <w:t>£</w:t>
      </w:r>
      <w:r w:rsidR="006B7307">
        <w:rPr>
          <w:rFonts w:ascii="Arial" w:hAnsi="Arial" w:cs="Arial"/>
          <w:sz w:val="20"/>
          <w:szCs w:val="20"/>
        </w:rPr>
        <w:t>1</w:t>
      </w:r>
      <w:r w:rsidR="00BD30AA">
        <w:rPr>
          <w:rFonts w:ascii="Arial" w:hAnsi="Arial" w:cs="Arial"/>
          <w:sz w:val="20"/>
          <w:szCs w:val="20"/>
        </w:rPr>
        <w:t>.</w:t>
      </w:r>
      <w:r w:rsidR="006B7307">
        <w:rPr>
          <w:rFonts w:ascii="Arial" w:hAnsi="Arial" w:cs="Arial"/>
          <w:sz w:val="20"/>
          <w:szCs w:val="20"/>
        </w:rPr>
        <w:t>0</w:t>
      </w:r>
      <w:r w:rsidR="00355AD4">
        <w:rPr>
          <w:rFonts w:ascii="Arial" w:hAnsi="Arial" w:cs="Arial"/>
          <w:sz w:val="20"/>
          <w:szCs w:val="20"/>
        </w:rPr>
        <w:t>m</w:t>
      </w:r>
      <w:r w:rsidR="006B7307">
        <w:rPr>
          <w:rFonts w:ascii="Arial" w:hAnsi="Arial" w:cs="Arial"/>
          <w:sz w:val="20"/>
          <w:szCs w:val="20"/>
        </w:rPr>
        <w:t>)</w:t>
      </w:r>
      <w:r w:rsidR="00BD30AA">
        <w:rPr>
          <w:rFonts w:ascii="Arial" w:hAnsi="Arial" w:cs="Arial"/>
          <w:sz w:val="20"/>
          <w:szCs w:val="20"/>
        </w:rPr>
        <w:t xml:space="preserve"> worse </w:t>
      </w:r>
      <w:r w:rsidR="00A24007">
        <w:rPr>
          <w:rFonts w:ascii="Arial" w:hAnsi="Arial" w:cs="Arial"/>
          <w:sz w:val="20"/>
          <w:szCs w:val="20"/>
        </w:rPr>
        <w:t>than plan,</w:t>
      </w:r>
      <w:r w:rsidR="00E82F20">
        <w:rPr>
          <w:rFonts w:ascii="Arial" w:hAnsi="Arial" w:cs="Arial"/>
          <w:sz w:val="20"/>
          <w:szCs w:val="20"/>
        </w:rPr>
        <w:t xml:space="preserve"> </w:t>
      </w:r>
      <w:r w:rsidR="00D5395F">
        <w:rPr>
          <w:rFonts w:ascii="Arial" w:hAnsi="Arial" w:cs="Arial"/>
          <w:sz w:val="20"/>
          <w:szCs w:val="20"/>
        </w:rPr>
        <w:t xml:space="preserve">generated by </w:t>
      </w:r>
      <w:r w:rsidR="004436E9">
        <w:rPr>
          <w:rFonts w:ascii="Arial" w:hAnsi="Arial" w:cs="Arial"/>
          <w:sz w:val="20"/>
          <w:szCs w:val="20"/>
        </w:rPr>
        <w:t xml:space="preserve">high activity with NHSE </w:t>
      </w:r>
      <w:r w:rsidR="001736B5">
        <w:rPr>
          <w:rFonts w:ascii="Arial" w:hAnsi="Arial" w:cs="Arial"/>
          <w:sz w:val="20"/>
          <w:szCs w:val="20"/>
        </w:rPr>
        <w:t>under res</w:t>
      </w:r>
      <w:r w:rsidR="00071F3A">
        <w:rPr>
          <w:rFonts w:ascii="Arial" w:hAnsi="Arial" w:cs="Arial"/>
          <w:sz w:val="20"/>
          <w:szCs w:val="20"/>
        </w:rPr>
        <w:t xml:space="preserve">tricted income due to the contract block, and pay expenditure </w:t>
      </w:r>
      <w:r w:rsidR="00BD739F">
        <w:rPr>
          <w:rFonts w:ascii="Arial" w:hAnsi="Arial" w:cs="Arial"/>
          <w:sz w:val="20"/>
          <w:szCs w:val="20"/>
        </w:rPr>
        <w:t>(</w:t>
      </w:r>
      <w:r w:rsidR="00071F3A">
        <w:rPr>
          <w:rFonts w:ascii="Arial" w:hAnsi="Arial" w:cs="Arial"/>
          <w:sz w:val="20"/>
          <w:szCs w:val="20"/>
        </w:rPr>
        <w:t>£550k</w:t>
      </w:r>
      <w:r w:rsidR="00BD739F">
        <w:rPr>
          <w:rFonts w:ascii="Arial" w:hAnsi="Arial" w:cs="Arial"/>
          <w:sz w:val="20"/>
          <w:szCs w:val="20"/>
        </w:rPr>
        <w:t>)</w:t>
      </w:r>
      <w:r w:rsidR="00071F3A">
        <w:rPr>
          <w:rFonts w:ascii="Arial" w:hAnsi="Arial" w:cs="Arial"/>
          <w:sz w:val="20"/>
          <w:szCs w:val="20"/>
        </w:rPr>
        <w:t xml:space="preserve"> higher than the average for Quarter 1 &amp; 2. </w:t>
      </w:r>
      <w:r w:rsidR="00C26986">
        <w:rPr>
          <w:rFonts w:ascii="Arial" w:hAnsi="Arial" w:cs="Arial"/>
          <w:sz w:val="20"/>
          <w:szCs w:val="20"/>
        </w:rPr>
        <w:t xml:space="preserve">The </w:t>
      </w:r>
      <w:r>
        <w:rPr>
          <w:rFonts w:ascii="Arial" w:hAnsi="Arial" w:cs="Arial"/>
          <w:sz w:val="20"/>
          <w:szCs w:val="20"/>
        </w:rPr>
        <w:t xml:space="preserve">YTD </w:t>
      </w:r>
      <w:r w:rsidR="00AC6329">
        <w:rPr>
          <w:rFonts w:ascii="Arial" w:hAnsi="Arial" w:cs="Arial"/>
          <w:sz w:val="20"/>
          <w:szCs w:val="20"/>
        </w:rPr>
        <w:t>deficit, (£</w:t>
      </w:r>
      <w:r w:rsidR="00071F3A">
        <w:rPr>
          <w:rFonts w:ascii="Arial" w:hAnsi="Arial" w:cs="Arial"/>
          <w:sz w:val="20"/>
          <w:szCs w:val="20"/>
        </w:rPr>
        <w:t>9</w:t>
      </w:r>
      <w:r w:rsidR="00AC6329">
        <w:rPr>
          <w:rFonts w:ascii="Arial" w:hAnsi="Arial" w:cs="Arial"/>
          <w:sz w:val="20"/>
          <w:szCs w:val="20"/>
        </w:rPr>
        <w:t>.</w:t>
      </w:r>
      <w:r w:rsidR="00071F3A">
        <w:rPr>
          <w:rFonts w:ascii="Arial" w:hAnsi="Arial" w:cs="Arial"/>
          <w:sz w:val="20"/>
          <w:szCs w:val="20"/>
        </w:rPr>
        <w:t>3</w:t>
      </w:r>
      <w:r w:rsidR="00C26986">
        <w:rPr>
          <w:rFonts w:ascii="Arial" w:hAnsi="Arial" w:cs="Arial"/>
          <w:sz w:val="20"/>
          <w:szCs w:val="20"/>
        </w:rPr>
        <w:t xml:space="preserve">m), </w:t>
      </w:r>
      <w:r>
        <w:rPr>
          <w:rFonts w:ascii="Arial" w:hAnsi="Arial" w:cs="Arial"/>
          <w:sz w:val="20"/>
          <w:szCs w:val="20"/>
        </w:rPr>
        <w:t xml:space="preserve">is </w:t>
      </w:r>
      <w:r w:rsidR="00AC6329">
        <w:rPr>
          <w:rFonts w:ascii="Arial" w:hAnsi="Arial" w:cs="Arial"/>
          <w:sz w:val="20"/>
          <w:szCs w:val="20"/>
        </w:rPr>
        <w:t>£</w:t>
      </w:r>
      <w:r w:rsidR="00071F3A">
        <w:rPr>
          <w:rFonts w:ascii="Arial" w:hAnsi="Arial" w:cs="Arial"/>
          <w:sz w:val="20"/>
          <w:szCs w:val="20"/>
        </w:rPr>
        <w:t>0</w:t>
      </w:r>
      <w:r w:rsidR="00AC6329">
        <w:rPr>
          <w:rFonts w:ascii="Arial" w:hAnsi="Arial" w:cs="Arial"/>
          <w:sz w:val="20"/>
          <w:szCs w:val="20"/>
        </w:rPr>
        <w:t>.8m better than plan, and £</w:t>
      </w:r>
      <w:r w:rsidR="00071F3A">
        <w:rPr>
          <w:rFonts w:ascii="Arial" w:hAnsi="Arial" w:cs="Arial"/>
          <w:sz w:val="20"/>
          <w:szCs w:val="20"/>
        </w:rPr>
        <w:t>0</w:t>
      </w:r>
      <w:r w:rsidR="00AC6329">
        <w:rPr>
          <w:rFonts w:ascii="Arial" w:hAnsi="Arial" w:cs="Arial"/>
          <w:sz w:val="20"/>
          <w:szCs w:val="20"/>
        </w:rPr>
        <w:t>.4</w:t>
      </w:r>
      <w:r w:rsidR="001C3100">
        <w:rPr>
          <w:rFonts w:ascii="Arial" w:hAnsi="Arial" w:cs="Arial"/>
          <w:sz w:val="20"/>
          <w:szCs w:val="20"/>
        </w:rPr>
        <w:t>m b</w:t>
      </w:r>
      <w:r w:rsidR="00DC40BA">
        <w:rPr>
          <w:rFonts w:ascii="Arial" w:hAnsi="Arial" w:cs="Arial"/>
          <w:sz w:val="20"/>
          <w:szCs w:val="20"/>
        </w:rPr>
        <w:t>ett</w:t>
      </w:r>
      <w:r w:rsidR="009A7C06">
        <w:rPr>
          <w:rFonts w:ascii="Arial" w:hAnsi="Arial" w:cs="Arial"/>
          <w:sz w:val="20"/>
          <w:szCs w:val="20"/>
        </w:rPr>
        <w:t>er than Control Total, driven by the contribu</w:t>
      </w:r>
      <w:r w:rsidR="0072359A">
        <w:rPr>
          <w:rFonts w:ascii="Arial" w:hAnsi="Arial" w:cs="Arial"/>
          <w:sz w:val="20"/>
          <w:szCs w:val="20"/>
        </w:rPr>
        <w:t>tion from over performance</w:t>
      </w:r>
      <w:r w:rsidR="00876535">
        <w:rPr>
          <w:rFonts w:ascii="Arial" w:hAnsi="Arial" w:cs="Arial"/>
          <w:sz w:val="20"/>
          <w:szCs w:val="20"/>
        </w:rPr>
        <w:t xml:space="preserve"> </w:t>
      </w:r>
      <w:r w:rsidR="009A7C06">
        <w:rPr>
          <w:rFonts w:ascii="Arial" w:hAnsi="Arial" w:cs="Arial"/>
          <w:sz w:val="20"/>
          <w:szCs w:val="20"/>
        </w:rPr>
        <w:t>on Private Patient Income</w:t>
      </w:r>
      <w:r w:rsidR="0072359A">
        <w:rPr>
          <w:rFonts w:ascii="Arial" w:hAnsi="Arial" w:cs="Arial"/>
          <w:sz w:val="20"/>
          <w:szCs w:val="20"/>
        </w:rPr>
        <w:t xml:space="preserve"> and the under-spend on pay</w:t>
      </w:r>
      <w:r w:rsidR="001C3100">
        <w:rPr>
          <w:rFonts w:ascii="Arial" w:hAnsi="Arial" w:cs="Arial"/>
          <w:sz w:val="20"/>
          <w:szCs w:val="20"/>
        </w:rPr>
        <w:t>.</w:t>
      </w:r>
      <w:r w:rsidR="006F2D59">
        <w:rPr>
          <w:rFonts w:ascii="Arial" w:hAnsi="Arial" w:cs="Arial"/>
          <w:sz w:val="20"/>
          <w:szCs w:val="20"/>
        </w:rPr>
        <w:t xml:space="preserve"> In addition to the usual adjustment for income and expenditure relating to donated assets, the Trust’s performance against Control Total is adjusted for the </w:t>
      </w:r>
      <w:r w:rsidR="00FE7E7A">
        <w:rPr>
          <w:rFonts w:ascii="Arial" w:hAnsi="Arial" w:cs="Arial"/>
          <w:sz w:val="20"/>
          <w:szCs w:val="20"/>
        </w:rPr>
        <w:t xml:space="preserve">additional </w:t>
      </w:r>
      <w:r w:rsidR="006F2D59">
        <w:rPr>
          <w:rFonts w:ascii="Arial" w:hAnsi="Arial" w:cs="Arial"/>
          <w:sz w:val="20"/>
          <w:szCs w:val="20"/>
        </w:rPr>
        <w:t>£0.3m Incentive PSF</w:t>
      </w:r>
      <w:r w:rsidR="0072359A">
        <w:rPr>
          <w:rFonts w:ascii="Arial" w:hAnsi="Arial" w:cs="Arial"/>
          <w:sz w:val="20"/>
          <w:szCs w:val="20"/>
        </w:rPr>
        <w:t xml:space="preserve"> relating to 2018/19</w:t>
      </w:r>
      <w:r w:rsidR="00FE7E7A">
        <w:rPr>
          <w:rFonts w:ascii="Arial" w:hAnsi="Arial" w:cs="Arial"/>
          <w:sz w:val="20"/>
          <w:szCs w:val="20"/>
        </w:rPr>
        <w:t>.</w:t>
      </w:r>
    </w:p>
    <w:p w14:paraId="38E2680B" w14:textId="37285F09" w:rsidR="009A7C06" w:rsidRDefault="009A7C06" w:rsidP="005A58A6">
      <w:pPr>
        <w:spacing w:before="240"/>
        <w:jc w:val="both"/>
        <w:rPr>
          <w:rFonts w:ascii="Arial" w:hAnsi="Arial" w:cs="Arial"/>
          <w:sz w:val="20"/>
          <w:szCs w:val="20"/>
        </w:rPr>
      </w:pPr>
      <w:r w:rsidRPr="009A7C06">
        <w:rPr>
          <w:rFonts w:ascii="Arial" w:hAnsi="Arial" w:cs="Arial"/>
          <w:sz w:val="20"/>
          <w:szCs w:val="20"/>
        </w:rPr>
        <w:t>The block contract with NHSE has been profiled over the financial year based on w</w:t>
      </w:r>
      <w:r w:rsidR="006F2D59">
        <w:rPr>
          <w:rFonts w:ascii="Arial" w:hAnsi="Arial" w:cs="Arial"/>
          <w:sz w:val="20"/>
          <w:szCs w:val="20"/>
        </w:rPr>
        <w:t xml:space="preserve">orking days, and would have </w:t>
      </w:r>
      <w:r w:rsidR="00071F3A">
        <w:rPr>
          <w:rFonts w:ascii="Arial" w:hAnsi="Arial" w:cs="Arial"/>
          <w:sz w:val="20"/>
          <w:szCs w:val="20"/>
        </w:rPr>
        <w:t>over</w:t>
      </w:r>
      <w:r w:rsidR="0072359A">
        <w:rPr>
          <w:rFonts w:ascii="Arial" w:hAnsi="Arial" w:cs="Arial"/>
          <w:sz w:val="20"/>
          <w:szCs w:val="20"/>
        </w:rPr>
        <w:t xml:space="preserve">-performed against plan </w:t>
      </w:r>
      <w:r w:rsidR="00AC6329">
        <w:rPr>
          <w:rFonts w:ascii="Arial" w:hAnsi="Arial" w:cs="Arial"/>
          <w:sz w:val="20"/>
          <w:szCs w:val="20"/>
        </w:rPr>
        <w:t>YTD by £0.</w:t>
      </w:r>
      <w:r w:rsidR="00071F3A">
        <w:rPr>
          <w:rFonts w:ascii="Arial" w:hAnsi="Arial" w:cs="Arial"/>
          <w:sz w:val="20"/>
          <w:szCs w:val="20"/>
        </w:rPr>
        <w:t>85</w:t>
      </w:r>
      <w:r w:rsidR="00AC6329">
        <w:rPr>
          <w:rFonts w:ascii="Arial" w:hAnsi="Arial" w:cs="Arial"/>
          <w:sz w:val="20"/>
          <w:szCs w:val="20"/>
        </w:rPr>
        <w:t xml:space="preserve">m to </w:t>
      </w:r>
      <w:r w:rsidR="0065528D">
        <w:rPr>
          <w:rFonts w:ascii="Arial" w:hAnsi="Arial" w:cs="Arial"/>
          <w:sz w:val="20"/>
          <w:szCs w:val="20"/>
        </w:rPr>
        <w:t>Octo</w:t>
      </w:r>
      <w:r w:rsidR="00AC6329">
        <w:rPr>
          <w:rFonts w:ascii="Arial" w:hAnsi="Arial" w:cs="Arial"/>
          <w:sz w:val="20"/>
          <w:szCs w:val="20"/>
        </w:rPr>
        <w:t>ber</w:t>
      </w:r>
      <w:r w:rsidRPr="009A7C06">
        <w:rPr>
          <w:rFonts w:ascii="Arial" w:hAnsi="Arial" w:cs="Arial"/>
          <w:sz w:val="20"/>
          <w:szCs w:val="20"/>
        </w:rPr>
        <w:t xml:space="preserve"> on </w:t>
      </w:r>
      <w:r w:rsidR="0072359A">
        <w:rPr>
          <w:rFonts w:ascii="Arial" w:hAnsi="Arial" w:cs="Arial"/>
          <w:sz w:val="20"/>
          <w:szCs w:val="20"/>
        </w:rPr>
        <w:t xml:space="preserve">a cost &amp; volume </w:t>
      </w:r>
      <w:r w:rsidR="00AC6329">
        <w:rPr>
          <w:rFonts w:ascii="Arial" w:hAnsi="Arial" w:cs="Arial"/>
          <w:sz w:val="20"/>
          <w:szCs w:val="20"/>
        </w:rPr>
        <w:t>basis.</w:t>
      </w:r>
      <w:r w:rsidR="00811430">
        <w:rPr>
          <w:rFonts w:ascii="Arial" w:hAnsi="Arial" w:cs="Arial"/>
          <w:sz w:val="20"/>
          <w:szCs w:val="20"/>
        </w:rPr>
        <w:t xml:space="preserve"> Within </w:t>
      </w:r>
      <w:r w:rsidR="00CC1108">
        <w:rPr>
          <w:rFonts w:ascii="Arial" w:hAnsi="Arial" w:cs="Arial"/>
          <w:sz w:val="20"/>
          <w:szCs w:val="20"/>
        </w:rPr>
        <w:t xml:space="preserve">this </w:t>
      </w:r>
      <w:r w:rsidR="00811430">
        <w:rPr>
          <w:rFonts w:ascii="Arial" w:hAnsi="Arial" w:cs="Arial"/>
          <w:sz w:val="20"/>
          <w:szCs w:val="20"/>
        </w:rPr>
        <w:t>there is under-performance of (£3.</w:t>
      </w:r>
      <w:r w:rsidR="002B67DA">
        <w:rPr>
          <w:rFonts w:ascii="Arial" w:hAnsi="Arial" w:cs="Arial"/>
          <w:sz w:val="20"/>
          <w:szCs w:val="20"/>
        </w:rPr>
        <w:t>9</w:t>
      </w:r>
      <w:r w:rsidR="00811430">
        <w:rPr>
          <w:rFonts w:ascii="Arial" w:hAnsi="Arial" w:cs="Arial"/>
          <w:sz w:val="20"/>
          <w:szCs w:val="20"/>
        </w:rPr>
        <w:t xml:space="preserve">m) for Highly Specialist activity, </w:t>
      </w:r>
      <w:r w:rsidR="007B4C47">
        <w:rPr>
          <w:rFonts w:ascii="Arial" w:hAnsi="Arial" w:cs="Arial"/>
          <w:sz w:val="20"/>
          <w:szCs w:val="20"/>
        </w:rPr>
        <w:t xml:space="preserve">comprising </w:t>
      </w:r>
      <w:r w:rsidR="00811430">
        <w:rPr>
          <w:rFonts w:ascii="Arial" w:hAnsi="Arial" w:cs="Arial"/>
          <w:sz w:val="20"/>
          <w:szCs w:val="20"/>
        </w:rPr>
        <w:t>ECMO (£0.</w:t>
      </w:r>
      <w:r w:rsidR="002B67DA">
        <w:rPr>
          <w:rFonts w:ascii="Arial" w:hAnsi="Arial" w:cs="Arial"/>
          <w:sz w:val="20"/>
          <w:szCs w:val="20"/>
        </w:rPr>
        <w:t>8</w:t>
      </w:r>
      <w:r w:rsidR="00811430">
        <w:rPr>
          <w:rFonts w:ascii="Arial" w:hAnsi="Arial" w:cs="Arial"/>
          <w:sz w:val="20"/>
          <w:szCs w:val="20"/>
        </w:rPr>
        <w:t>m), (£1.</w:t>
      </w:r>
      <w:r w:rsidR="002B67DA">
        <w:rPr>
          <w:rFonts w:ascii="Arial" w:hAnsi="Arial" w:cs="Arial"/>
          <w:sz w:val="20"/>
          <w:szCs w:val="20"/>
        </w:rPr>
        <w:t>4</w:t>
      </w:r>
      <w:r w:rsidR="00811430">
        <w:rPr>
          <w:rFonts w:ascii="Arial" w:hAnsi="Arial" w:cs="Arial"/>
          <w:sz w:val="20"/>
          <w:szCs w:val="20"/>
        </w:rPr>
        <w:t>m) Long-Term VAD devices, and (£1.</w:t>
      </w:r>
      <w:r w:rsidR="002B67DA">
        <w:rPr>
          <w:rFonts w:ascii="Arial" w:hAnsi="Arial" w:cs="Arial"/>
          <w:sz w:val="20"/>
          <w:szCs w:val="20"/>
        </w:rPr>
        <w:t>6</w:t>
      </w:r>
      <w:r w:rsidR="00811430">
        <w:rPr>
          <w:rFonts w:ascii="Arial" w:hAnsi="Arial" w:cs="Arial"/>
          <w:sz w:val="20"/>
          <w:szCs w:val="20"/>
        </w:rPr>
        <w:t>m) Transplant and Long-Term VAD procedures</w:t>
      </w:r>
      <w:r w:rsidR="002B67DA">
        <w:rPr>
          <w:rFonts w:ascii="Arial" w:hAnsi="Arial" w:cs="Arial"/>
          <w:sz w:val="20"/>
          <w:szCs w:val="20"/>
        </w:rPr>
        <w:t>, more than offset by over-performance for Specialist activity £4.75m</w:t>
      </w:r>
      <w:r w:rsidR="00811430">
        <w:rPr>
          <w:rFonts w:ascii="Arial" w:hAnsi="Arial" w:cs="Arial"/>
          <w:sz w:val="20"/>
          <w:szCs w:val="20"/>
        </w:rPr>
        <w:t xml:space="preserve">. </w:t>
      </w:r>
      <w:r w:rsidR="002B67DA">
        <w:rPr>
          <w:rFonts w:ascii="Arial" w:hAnsi="Arial" w:cs="Arial"/>
          <w:sz w:val="20"/>
          <w:szCs w:val="20"/>
        </w:rPr>
        <w:t>For Quarters 1 &amp; 2 on average Specialist activity over-performed by £600k per month, this doubled to £1.2m in October, whilst Highly Specialist activity had been under-performing by (£600k) per month, this halved to (£300k) in October.</w:t>
      </w:r>
      <w:r w:rsidR="00811430">
        <w:rPr>
          <w:rFonts w:ascii="Arial" w:hAnsi="Arial" w:cs="Arial"/>
          <w:sz w:val="20"/>
          <w:szCs w:val="20"/>
        </w:rPr>
        <w:t xml:space="preserve"> </w:t>
      </w:r>
    </w:p>
    <w:p w14:paraId="689923EF" w14:textId="7E79937A" w:rsidR="00EB76F7" w:rsidRDefault="002C7B68" w:rsidP="00CF75CF">
      <w:pPr>
        <w:rPr>
          <w:rFonts w:ascii="Arial" w:hAnsi="Arial" w:cs="Arial"/>
          <w:sz w:val="20"/>
          <w:szCs w:val="20"/>
        </w:rPr>
      </w:pPr>
      <w:r w:rsidRPr="00CF75CF">
        <w:rPr>
          <w:rFonts w:ascii="Arial" w:hAnsi="Arial" w:cs="Arial"/>
          <w:sz w:val="20"/>
          <w:szCs w:val="20"/>
        </w:rPr>
        <w:t xml:space="preserve">The cash position </w:t>
      </w:r>
      <w:r w:rsidR="00E82F20" w:rsidRPr="00CF75CF">
        <w:rPr>
          <w:rFonts w:ascii="Arial" w:hAnsi="Arial" w:cs="Arial"/>
          <w:sz w:val="20"/>
          <w:szCs w:val="20"/>
        </w:rPr>
        <w:t>de</w:t>
      </w:r>
      <w:r w:rsidR="008F3AC7" w:rsidRPr="00CF75CF">
        <w:rPr>
          <w:rFonts w:ascii="Arial" w:hAnsi="Arial" w:cs="Arial"/>
          <w:sz w:val="20"/>
          <w:szCs w:val="20"/>
        </w:rPr>
        <w:t>creased</w:t>
      </w:r>
      <w:r w:rsidR="00811430">
        <w:rPr>
          <w:rFonts w:ascii="Arial" w:hAnsi="Arial" w:cs="Arial"/>
          <w:sz w:val="20"/>
          <w:szCs w:val="20"/>
        </w:rPr>
        <w:t xml:space="preserve"> in-month by (£</w:t>
      </w:r>
      <w:r w:rsidR="002B67DA">
        <w:rPr>
          <w:rFonts w:ascii="Arial" w:hAnsi="Arial" w:cs="Arial"/>
          <w:sz w:val="20"/>
          <w:szCs w:val="20"/>
        </w:rPr>
        <w:t>4</w:t>
      </w:r>
      <w:r w:rsidR="00660203">
        <w:rPr>
          <w:rFonts w:ascii="Arial" w:hAnsi="Arial" w:cs="Arial"/>
          <w:sz w:val="20"/>
          <w:szCs w:val="20"/>
        </w:rPr>
        <w:t>.</w:t>
      </w:r>
      <w:r w:rsidR="002B67DA">
        <w:rPr>
          <w:rFonts w:ascii="Arial" w:hAnsi="Arial" w:cs="Arial"/>
          <w:sz w:val="20"/>
          <w:szCs w:val="20"/>
        </w:rPr>
        <w:t>3</w:t>
      </w:r>
      <w:r w:rsidR="00811430">
        <w:rPr>
          <w:rFonts w:ascii="Arial" w:hAnsi="Arial" w:cs="Arial"/>
          <w:sz w:val="20"/>
          <w:szCs w:val="20"/>
        </w:rPr>
        <w:t>m) to £</w:t>
      </w:r>
      <w:r w:rsidR="002B67DA">
        <w:rPr>
          <w:rFonts w:ascii="Arial" w:hAnsi="Arial" w:cs="Arial"/>
          <w:sz w:val="20"/>
          <w:szCs w:val="20"/>
        </w:rPr>
        <w:t>8</w:t>
      </w:r>
      <w:r w:rsidR="00811430">
        <w:rPr>
          <w:rFonts w:ascii="Arial" w:hAnsi="Arial" w:cs="Arial"/>
          <w:sz w:val="20"/>
          <w:szCs w:val="20"/>
        </w:rPr>
        <w:t>.</w:t>
      </w:r>
      <w:r w:rsidR="002B67DA">
        <w:rPr>
          <w:rFonts w:ascii="Arial" w:hAnsi="Arial" w:cs="Arial"/>
          <w:sz w:val="20"/>
          <w:szCs w:val="20"/>
        </w:rPr>
        <w:t>9</w:t>
      </w:r>
      <w:r w:rsidR="009C40D6" w:rsidRPr="00CF75CF">
        <w:rPr>
          <w:rFonts w:ascii="Arial" w:hAnsi="Arial" w:cs="Arial"/>
          <w:sz w:val="20"/>
          <w:szCs w:val="20"/>
        </w:rPr>
        <w:t>m</w:t>
      </w:r>
      <w:r w:rsidR="001C3100" w:rsidRPr="00CF75CF">
        <w:rPr>
          <w:rFonts w:ascii="Arial" w:hAnsi="Arial" w:cs="Arial"/>
          <w:sz w:val="20"/>
          <w:szCs w:val="20"/>
        </w:rPr>
        <w:t xml:space="preserve">, </w:t>
      </w:r>
      <w:r w:rsidR="00811430">
        <w:rPr>
          <w:rFonts w:ascii="Arial" w:hAnsi="Arial" w:cs="Arial"/>
          <w:sz w:val="20"/>
          <w:szCs w:val="20"/>
        </w:rPr>
        <w:t>£</w:t>
      </w:r>
      <w:r w:rsidR="002B67DA">
        <w:rPr>
          <w:rFonts w:ascii="Arial" w:hAnsi="Arial" w:cs="Arial"/>
          <w:sz w:val="20"/>
          <w:szCs w:val="20"/>
        </w:rPr>
        <w:t>4</w:t>
      </w:r>
      <w:r w:rsidR="0033247F">
        <w:rPr>
          <w:rFonts w:ascii="Arial" w:hAnsi="Arial" w:cs="Arial"/>
          <w:sz w:val="20"/>
          <w:szCs w:val="20"/>
        </w:rPr>
        <w:t>.</w:t>
      </w:r>
      <w:r w:rsidR="002B67DA">
        <w:rPr>
          <w:rFonts w:ascii="Arial" w:hAnsi="Arial" w:cs="Arial"/>
          <w:sz w:val="20"/>
          <w:szCs w:val="20"/>
        </w:rPr>
        <w:t>9</w:t>
      </w:r>
      <w:r w:rsidR="00811430">
        <w:rPr>
          <w:rFonts w:ascii="Arial" w:hAnsi="Arial" w:cs="Arial"/>
          <w:sz w:val="20"/>
          <w:szCs w:val="20"/>
        </w:rPr>
        <w:t>m low</w:t>
      </w:r>
      <w:r w:rsidR="006F2D59">
        <w:rPr>
          <w:rFonts w:ascii="Arial" w:hAnsi="Arial" w:cs="Arial"/>
          <w:sz w:val="20"/>
          <w:szCs w:val="20"/>
        </w:rPr>
        <w:t>er than plan</w:t>
      </w:r>
      <w:r w:rsidR="0033247F">
        <w:rPr>
          <w:rFonts w:ascii="Arial" w:hAnsi="Arial" w:cs="Arial"/>
          <w:sz w:val="20"/>
          <w:szCs w:val="20"/>
        </w:rPr>
        <w:t>.</w:t>
      </w:r>
      <w:r w:rsidR="00811430">
        <w:rPr>
          <w:rFonts w:ascii="Arial" w:hAnsi="Arial" w:cs="Arial"/>
          <w:sz w:val="20"/>
          <w:szCs w:val="20"/>
        </w:rPr>
        <w:t xml:space="preserve"> The cashflow plan assumed we would have drawndown £1</w:t>
      </w:r>
      <w:r w:rsidR="00C91C73">
        <w:rPr>
          <w:rFonts w:ascii="Arial" w:hAnsi="Arial" w:cs="Arial"/>
          <w:sz w:val="20"/>
          <w:szCs w:val="20"/>
        </w:rPr>
        <w:t>1</w:t>
      </w:r>
      <w:r w:rsidR="00811430">
        <w:rPr>
          <w:rFonts w:ascii="Arial" w:hAnsi="Arial" w:cs="Arial"/>
          <w:sz w:val="20"/>
          <w:szCs w:val="20"/>
        </w:rPr>
        <w:t>.</w:t>
      </w:r>
      <w:r w:rsidR="00C91C73">
        <w:rPr>
          <w:rFonts w:ascii="Arial" w:hAnsi="Arial" w:cs="Arial"/>
          <w:sz w:val="20"/>
          <w:szCs w:val="20"/>
        </w:rPr>
        <w:t>9</w:t>
      </w:r>
      <w:r w:rsidR="00811430">
        <w:rPr>
          <w:rFonts w:ascii="Arial" w:hAnsi="Arial" w:cs="Arial"/>
          <w:sz w:val="20"/>
          <w:szCs w:val="20"/>
        </w:rPr>
        <w:t xml:space="preserve">m of borrowing to finance the Imaging Centre by the end of </w:t>
      </w:r>
      <w:r w:rsidR="00C91C73">
        <w:rPr>
          <w:rFonts w:ascii="Arial" w:hAnsi="Arial" w:cs="Arial"/>
          <w:sz w:val="20"/>
          <w:szCs w:val="20"/>
        </w:rPr>
        <w:t>Month 7</w:t>
      </w:r>
      <w:r w:rsidR="00CC1108">
        <w:rPr>
          <w:rFonts w:ascii="Arial" w:hAnsi="Arial" w:cs="Arial"/>
          <w:sz w:val="20"/>
          <w:szCs w:val="20"/>
        </w:rPr>
        <w:t>;</w:t>
      </w:r>
      <w:r w:rsidR="00811430">
        <w:rPr>
          <w:rFonts w:ascii="Arial" w:hAnsi="Arial" w:cs="Arial"/>
          <w:sz w:val="20"/>
          <w:szCs w:val="20"/>
        </w:rPr>
        <w:t xml:space="preserve"> this has not happened, but is largely mitigated by £</w:t>
      </w:r>
      <w:r w:rsidR="00C91C73">
        <w:rPr>
          <w:rFonts w:ascii="Arial" w:hAnsi="Arial" w:cs="Arial"/>
          <w:sz w:val="20"/>
          <w:szCs w:val="20"/>
        </w:rPr>
        <w:t>8</w:t>
      </w:r>
      <w:r w:rsidR="00811430">
        <w:rPr>
          <w:rFonts w:ascii="Arial" w:hAnsi="Arial" w:cs="Arial"/>
          <w:sz w:val="20"/>
          <w:szCs w:val="20"/>
        </w:rPr>
        <w:t>.</w:t>
      </w:r>
      <w:r w:rsidR="00C91C73">
        <w:rPr>
          <w:rFonts w:ascii="Arial" w:hAnsi="Arial" w:cs="Arial"/>
          <w:sz w:val="20"/>
          <w:szCs w:val="20"/>
        </w:rPr>
        <w:t>6</w:t>
      </w:r>
      <w:r w:rsidR="00811430">
        <w:rPr>
          <w:rFonts w:ascii="Arial" w:hAnsi="Arial" w:cs="Arial"/>
          <w:sz w:val="20"/>
          <w:szCs w:val="20"/>
        </w:rPr>
        <w:t>m slippage on capital expenditure</w:t>
      </w:r>
      <w:r w:rsidR="00CC1108">
        <w:rPr>
          <w:rFonts w:ascii="Arial" w:hAnsi="Arial" w:cs="Arial"/>
          <w:sz w:val="20"/>
          <w:szCs w:val="20"/>
        </w:rPr>
        <w:t>, principally the imaging centre itself</w:t>
      </w:r>
      <w:r w:rsidR="00811430">
        <w:rPr>
          <w:rFonts w:ascii="Arial" w:hAnsi="Arial" w:cs="Arial"/>
          <w:sz w:val="20"/>
          <w:szCs w:val="20"/>
        </w:rPr>
        <w:t xml:space="preserve">. </w:t>
      </w:r>
      <w:r w:rsidR="00CC1108">
        <w:rPr>
          <w:rFonts w:ascii="Arial" w:hAnsi="Arial" w:cs="Arial"/>
          <w:sz w:val="20"/>
          <w:szCs w:val="20"/>
        </w:rPr>
        <w:t>Trust</w:t>
      </w:r>
      <w:r w:rsidR="00811430">
        <w:rPr>
          <w:rFonts w:ascii="Arial" w:hAnsi="Arial" w:cs="Arial"/>
          <w:sz w:val="20"/>
          <w:szCs w:val="20"/>
        </w:rPr>
        <w:t xml:space="preserve"> </w:t>
      </w:r>
      <w:r w:rsidR="00C91C73">
        <w:rPr>
          <w:rFonts w:ascii="Arial" w:hAnsi="Arial" w:cs="Arial"/>
          <w:sz w:val="20"/>
          <w:szCs w:val="20"/>
        </w:rPr>
        <w:t>has</w:t>
      </w:r>
      <w:r w:rsidR="00811430">
        <w:rPr>
          <w:rFonts w:ascii="Arial" w:hAnsi="Arial" w:cs="Arial"/>
          <w:sz w:val="20"/>
          <w:szCs w:val="20"/>
        </w:rPr>
        <w:t xml:space="preserve"> drawdown £10m of the Bridging Loan</w:t>
      </w:r>
      <w:r w:rsidR="00CC1108">
        <w:rPr>
          <w:rFonts w:ascii="Arial" w:hAnsi="Arial" w:cs="Arial"/>
          <w:sz w:val="20"/>
          <w:szCs w:val="20"/>
        </w:rPr>
        <w:t xml:space="preserve"> facility</w:t>
      </w:r>
      <w:r w:rsidR="00811430">
        <w:rPr>
          <w:rFonts w:ascii="Arial" w:hAnsi="Arial" w:cs="Arial"/>
          <w:sz w:val="20"/>
          <w:szCs w:val="20"/>
        </w:rPr>
        <w:t xml:space="preserve"> during </w:t>
      </w:r>
      <w:r w:rsidR="00C91C73">
        <w:rPr>
          <w:rFonts w:ascii="Arial" w:hAnsi="Arial" w:cs="Arial"/>
          <w:sz w:val="20"/>
          <w:szCs w:val="20"/>
        </w:rPr>
        <w:t>Novem</w:t>
      </w:r>
      <w:r w:rsidR="00811430">
        <w:rPr>
          <w:rFonts w:ascii="Arial" w:hAnsi="Arial" w:cs="Arial"/>
          <w:sz w:val="20"/>
          <w:szCs w:val="20"/>
        </w:rPr>
        <w:t>ber</w:t>
      </w:r>
      <w:r w:rsidR="00C91C73">
        <w:rPr>
          <w:rFonts w:ascii="Arial" w:hAnsi="Arial" w:cs="Arial"/>
          <w:sz w:val="20"/>
          <w:szCs w:val="20"/>
        </w:rPr>
        <w:t>, and will also receive £</w:t>
      </w:r>
      <w:r w:rsidR="002A58B3">
        <w:rPr>
          <w:rFonts w:ascii="Arial" w:hAnsi="Arial" w:cs="Arial"/>
          <w:sz w:val="20"/>
          <w:szCs w:val="20"/>
        </w:rPr>
        <w:t>4</w:t>
      </w:r>
      <w:r w:rsidR="00C91C73">
        <w:rPr>
          <w:rFonts w:ascii="Arial" w:hAnsi="Arial" w:cs="Arial"/>
          <w:sz w:val="20"/>
          <w:szCs w:val="20"/>
        </w:rPr>
        <w:t>.</w:t>
      </w:r>
      <w:r w:rsidR="002A58B3">
        <w:rPr>
          <w:rFonts w:ascii="Arial" w:hAnsi="Arial" w:cs="Arial"/>
          <w:sz w:val="20"/>
          <w:szCs w:val="20"/>
        </w:rPr>
        <w:t>1</w:t>
      </w:r>
      <w:r w:rsidR="00C91C73">
        <w:rPr>
          <w:rFonts w:ascii="Arial" w:hAnsi="Arial" w:cs="Arial"/>
          <w:sz w:val="20"/>
          <w:szCs w:val="20"/>
        </w:rPr>
        <w:t xml:space="preserve">m </w:t>
      </w:r>
      <w:r w:rsidR="00811430">
        <w:rPr>
          <w:rFonts w:ascii="Arial" w:hAnsi="Arial" w:cs="Arial"/>
          <w:sz w:val="20"/>
          <w:szCs w:val="20"/>
        </w:rPr>
        <w:t xml:space="preserve">for </w:t>
      </w:r>
      <w:r w:rsidR="00C91C73">
        <w:rPr>
          <w:rFonts w:ascii="Arial" w:hAnsi="Arial" w:cs="Arial"/>
          <w:sz w:val="20"/>
          <w:szCs w:val="20"/>
        </w:rPr>
        <w:t xml:space="preserve">the </w:t>
      </w:r>
      <w:r w:rsidR="00157E88">
        <w:rPr>
          <w:rFonts w:ascii="Arial" w:hAnsi="Arial" w:cs="Arial"/>
          <w:sz w:val="20"/>
          <w:szCs w:val="20"/>
        </w:rPr>
        <w:t>Financial Recovery Fund (</w:t>
      </w:r>
      <w:r w:rsidR="00811430">
        <w:rPr>
          <w:rFonts w:ascii="Arial" w:hAnsi="Arial" w:cs="Arial"/>
          <w:sz w:val="20"/>
          <w:szCs w:val="20"/>
        </w:rPr>
        <w:t>FRF</w:t>
      </w:r>
      <w:r w:rsidR="00157E88">
        <w:rPr>
          <w:rFonts w:ascii="Arial" w:hAnsi="Arial" w:cs="Arial"/>
          <w:sz w:val="20"/>
          <w:szCs w:val="20"/>
        </w:rPr>
        <w:t>)</w:t>
      </w:r>
      <w:r w:rsidR="00811430">
        <w:rPr>
          <w:rFonts w:ascii="Arial" w:hAnsi="Arial" w:cs="Arial"/>
          <w:sz w:val="20"/>
          <w:szCs w:val="20"/>
        </w:rPr>
        <w:t xml:space="preserve"> </w:t>
      </w:r>
      <w:r w:rsidR="00157E88">
        <w:rPr>
          <w:rFonts w:ascii="Arial" w:hAnsi="Arial" w:cs="Arial"/>
          <w:sz w:val="20"/>
          <w:szCs w:val="20"/>
        </w:rPr>
        <w:t>a</w:t>
      </w:r>
      <w:r w:rsidR="00811430">
        <w:rPr>
          <w:rFonts w:ascii="Arial" w:hAnsi="Arial" w:cs="Arial"/>
          <w:sz w:val="20"/>
          <w:szCs w:val="20"/>
        </w:rPr>
        <w:t xml:space="preserve">nd </w:t>
      </w:r>
      <w:r w:rsidR="00157E88">
        <w:rPr>
          <w:rFonts w:ascii="Arial" w:hAnsi="Arial" w:cs="Arial"/>
          <w:sz w:val="20"/>
          <w:szCs w:val="20"/>
        </w:rPr>
        <w:t>Provider Sustainability Fund (</w:t>
      </w:r>
      <w:r w:rsidR="00811430">
        <w:rPr>
          <w:rFonts w:ascii="Arial" w:hAnsi="Arial" w:cs="Arial"/>
          <w:sz w:val="20"/>
          <w:szCs w:val="20"/>
        </w:rPr>
        <w:t>PSF</w:t>
      </w:r>
      <w:r w:rsidR="00157E88">
        <w:rPr>
          <w:rFonts w:ascii="Arial" w:hAnsi="Arial" w:cs="Arial"/>
          <w:sz w:val="20"/>
          <w:szCs w:val="20"/>
        </w:rPr>
        <w:t>)</w:t>
      </w:r>
      <w:r w:rsidR="00811430">
        <w:rPr>
          <w:rFonts w:ascii="Arial" w:hAnsi="Arial" w:cs="Arial"/>
          <w:sz w:val="20"/>
          <w:szCs w:val="20"/>
        </w:rPr>
        <w:t xml:space="preserve"> relating to Quarter </w:t>
      </w:r>
      <w:r w:rsidR="00C91C73">
        <w:rPr>
          <w:rFonts w:ascii="Arial" w:hAnsi="Arial" w:cs="Arial"/>
          <w:sz w:val="20"/>
          <w:szCs w:val="20"/>
        </w:rPr>
        <w:t>2</w:t>
      </w:r>
      <w:r w:rsidR="00157E88">
        <w:rPr>
          <w:rFonts w:ascii="Arial" w:hAnsi="Arial" w:cs="Arial"/>
          <w:sz w:val="20"/>
          <w:szCs w:val="20"/>
        </w:rPr>
        <w:t>.</w:t>
      </w:r>
      <w:r w:rsidR="0033247F">
        <w:rPr>
          <w:rFonts w:ascii="Arial" w:hAnsi="Arial" w:cs="Arial"/>
          <w:sz w:val="20"/>
          <w:szCs w:val="20"/>
        </w:rPr>
        <w:t xml:space="preserve"> </w:t>
      </w:r>
    </w:p>
    <w:p w14:paraId="690F2AB2" w14:textId="2B7FE64D" w:rsidR="0051697E" w:rsidRDefault="00157E88" w:rsidP="00215236">
      <w:pPr>
        <w:rPr>
          <w:rFonts w:ascii="Arial" w:hAnsi="Arial" w:cs="Arial"/>
          <w:sz w:val="20"/>
          <w:szCs w:val="20"/>
        </w:rPr>
      </w:pPr>
      <w:r>
        <w:rPr>
          <w:rFonts w:ascii="Arial" w:hAnsi="Arial" w:cs="Arial"/>
          <w:sz w:val="20"/>
          <w:szCs w:val="20"/>
        </w:rPr>
        <w:t xml:space="preserve">Pay is </w:t>
      </w:r>
      <w:r w:rsidR="00C91C73">
        <w:rPr>
          <w:rFonts w:ascii="Arial" w:hAnsi="Arial" w:cs="Arial"/>
          <w:sz w:val="20"/>
          <w:szCs w:val="20"/>
        </w:rPr>
        <w:t>worse</w:t>
      </w:r>
      <w:r>
        <w:rPr>
          <w:rFonts w:ascii="Arial" w:hAnsi="Arial" w:cs="Arial"/>
          <w:sz w:val="20"/>
          <w:szCs w:val="20"/>
        </w:rPr>
        <w:t xml:space="preserve"> than plan by </w:t>
      </w:r>
      <w:r w:rsidR="00C91C73">
        <w:rPr>
          <w:rFonts w:ascii="Arial" w:hAnsi="Arial" w:cs="Arial"/>
          <w:sz w:val="20"/>
          <w:szCs w:val="20"/>
        </w:rPr>
        <w:t>(</w:t>
      </w:r>
      <w:r>
        <w:rPr>
          <w:rFonts w:ascii="Arial" w:hAnsi="Arial" w:cs="Arial"/>
          <w:sz w:val="20"/>
          <w:szCs w:val="20"/>
        </w:rPr>
        <w:t>£0.</w:t>
      </w:r>
      <w:r w:rsidR="00C91C73">
        <w:rPr>
          <w:rFonts w:ascii="Arial" w:hAnsi="Arial" w:cs="Arial"/>
          <w:sz w:val="20"/>
          <w:szCs w:val="20"/>
        </w:rPr>
        <w:t>2</w:t>
      </w:r>
      <w:r w:rsidR="00215236" w:rsidRPr="00215236">
        <w:rPr>
          <w:rFonts w:ascii="Arial" w:hAnsi="Arial" w:cs="Arial"/>
          <w:sz w:val="20"/>
          <w:szCs w:val="20"/>
        </w:rPr>
        <w:t>m</w:t>
      </w:r>
      <w:r w:rsidR="00C91C73">
        <w:rPr>
          <w:rFonts w:ascii="Arial" w:hAnsi="Arial" w:cs="Arial"/>
          <w:sz w:val="20"/>
          <w:szCs w:val="20"/>
        </w:rPr>
        <w:t>)</w:t>
      </w:r>
      <w:r w:rsidR="00C26986">
        <w:rPr>
          <w:rFonts w:ascii="Arial" w:hAnsi="Arial" w:cs="Arial"/>
          <w:sz w:val="20"/>
          <w:szCs w:val="20"/>
        </w:rPr>
        <w:t xml:space="preserve"> </w:t>
      </w:r>
      <w:r>
        <w:rPr>
          <w:rFonts w:ascii="Arial" w:hAnsi="Arial" w:cs="Arial"/>
          <w:sz w:val="20"/>
          <w:szCs w:val="20"/>
        </w:rPr>
        <w:t xml:space="preserve">in-month, </w:t>
      </w:r>
      <w:r w:rsidR="00C91C73">
        <w:rPr>
          <w:rFonts w:ascii="Arial" w:hAnsi="Arial" w:cs="Arial"/>
          <w:sz w:val="20"/>
          <w:szCs w:val="20"/>
        </w:rPr>
        <w:t xml:space="preserve">the first month all year with an adverse variance, </w:t>
      </w:r>
      <w:r>
        <w:rPr>
          <w:rFonts w:ascii="Arial" w:hAnsi="Arial" w:cs="Arial"/>
          <w:sz w:val="20"/>
          <w:szCs w:val="20"/>
        </w:rPr>
        <w:t>£2.</w:t>
      </w:r>
      <w:r w:rsidR="00C91C73">
        <w:rPr>
          <w:rFonts w:ascii="Arial" w:hAnsi="Arial" w:cs="Arial"/>
          <w:sz w:val="20"/>
          <w:szCs w:val="20"/>
        </w:rPr>
        <w:t>7</w:t>
      </w:r>
      <w:r w:rsidR="00C26986">
        <w:rPr>
          <w:rFonts w:ascii="Arial" w:hAnsi="Arial" w:cs="Arial"/>
          <w:sz w:val="20"/>
          <w:szCs w:val="20"/>
        </w:rPr>
        <w:t>m</w:t>
      </w:r>
      <w:r w:rsidR="0065528D">
        <w:rPr>
          <w:rFonts w:ascii="Arial" w:hAnsi="Arial" w:cs="Arial"/>
          <w:sz w:val="20"/>
          <w:szCs w:val="20"/>
        </w:rPr>
        <w:t xml:space="preserve"> better than plan</w:t>
      </w:r>
      <w:r w:rsidR="00C26986">
        <w:rPr>
          <w:rFonts w:ascii="Arial" w:hAnsi="Arial" w:cs="Arial"/>
          <w:sz w:val="20"/>
          <w:szCs w:val="20"/>
        </w:rPr>
        <w:t xml:space="preserve"> YTD</w:t>
      </w:r>
      <w:r w:rsidR="00776FF6">
        <w:rPr>
          <w:rFonts w:ascii="Arial" w:hAnsi="Arial" w:cs="Arial"/>
          <w:sz w:val="20"/>
          <w:szCs w:val="20"/>
        </w:rPr>
        <w:t>.</w:t>
      </w:r>
      <w:r w:rsidR="00C91C73">
        <w:rPr>
          <w:rFonts w:ascii="Arial" w:hAnsi="Arial" w:cs="Arial"/>
          <w:sz w:val="20"/>
          <w:szCs w:val="20"/>
        </w:rPr>
        <w:t xml:space="preserve"> </w:t>
      </w:r>
      <w:r w:rsidR="0065528D">
        <w:rPr>
          <w:rFonts w:ascii="Arial" w:hAnsi="Arial" w:cs="Arial"/>
          <w:sz w:val="20"/>
          <w:szCs w:val="20"/>
        </w:rPr>
        <w:br/>
      </w:r>
      <w:r w:rsidR="00BD739F">
        <w:rPr>
          <w:rFonts w:ascii="Arial" w:hAnsi="Arial" w:cs="Arial"/>
          <w:sz w:val="20"/>
          <w:szCs w:val="20"/>
        </w:rPr>
        <w:t xml:space="preserve">Pay expenditure increased by (£550k) compared to the average for Quarter 1 &amp; 2, </w:t>
      </w:r>
      <w:r w:rsidR="00C91C73">
        <w:rPr>
          <w:rFonts w:ascii="Arial" w:hAnsi="Arial" w:cs="Arial"/>
          <w:sz w:val="20"/>
          <w:szCs w:val="20"/>
        </w:rPr>
        <w:t>some</w:t>
      </w:r>
      <w:r w:rsidR="00BD739F">
        <w:rPr>
          <w:rFonts w:ascii="Arial" w:hAnsi="Arial" w:cs="Arial"/>
          <w:sz w:val="20"/>
          <w:szCs w:val="20"/>
        </w:rPr>
        <w:t xml:space="preserve"> generated by</w:t>
      </w:r>
      <w:r w:rsidR="00C91C73">
        <w:rPr>
          <w:rFonts w:ascii="Arial" w:hAnsi="Arial" w:cs="Arial"/>
          <w:sz w:val="20"/>
          <w:szCs w:val="20"/>
        </w:rPr>
        <w:t xml:space="preserve"> pay arrears relating to the medical pay award, (£0.1m), but </w:t>
      </w:r>
      <w:r w:rsidR="00BD739F">
        <w:rPr>
          <w:rFonts w:ascii="Arial" w:hAnsi="Arial" w:cs="Arial"/>
          <w:sz w:val="20"/>
          <w:szCs w:val="20"/>
        </w:rPr>
        <w:t xml:space="preserve">there was a further (£0.2m) increase for substantive staff, (£0.1m) increase for agency, and (£150k) increase for bank. </w:t>
      </w:r>
      <w:r w:rsidR="0065528D">
        <w:rPr>
          <w:rFonts w:ascii="Arial" w:hAnsi="Arial" w:cs="Arial"/>
          <w:sz w:val="20"/>
          <w:szCs w:val="20"/>
        </w:rPr>
        <w:br/>
      </w:r>
      <w:r w:rsidR="00BD739F">
        <w:rPr>
          <w:rFonts w:ascii="Arial" w:hAnsi="Arial" w:cs="Arial"/>
          <w:sz w:val="20"/>
          <w:szCs w:val="20"/>
        </w:rPr>
        <w:t xml:space="preserve">There has been an increase of 96 wte substantive staff since the end of 2018/19, with agency and bank staff reducing by 64 wte over the same period.  The most significant increase of substantive wte happened in October, 43 wtes, </w:t>
      </w:r>
      <w:r w:rsidR="0051697E">
        <w:rPr>
          <w:rFonts w:ascii="Arial" w:hAnsi="Arial" w:cs="Arial"/>
          <w:sz w:val="20"/>
          <w:szCs w:val="20"/>
        </w:rPr>
        <w:t>without a reduction of agency and bank staff – this may reflect higher activity during October, but may also reflect a supernumerary period for new clinical staff. It should be noted, the average number of inpatients during October was 25 higher than the average for Quarters 1&amp;2, an increase of 17 at Brompton and 8 at Harefield.</w:t>
      </w:r>
      <w:r w:rsidR="00215236" w:rsidRPr="00215236">
        <w:rPr>
          <w:rFonts w:ascii="Arial" w:hAnsi="Arial" w:cs="Arial"/>
          <w:sz w:val="20"/>
          <w:szCs w:val="20"/>
        </w:rPr>
        <w:t xml:space="preserve"> </w:t>
      </w:r>
    </w:p>
    <w:p w14:paraId="248FE54D" w14:textId="1BD533DB" w:rsidR="00215236" w:rsidRPr="00215236" w:rsidRDefault="00FE7E7A" w:rsidP="00215236">
      <w:pPr>
        <w:rPr>
          <w:rFonts w:ascii="Arial" w:hAnsi="Arial" w:cs="Arial"/>
          <w:sz w:val="20"/>
          <w:szCs w:val="20"/>
        </w:rPr>
      </w:pPr>
      <w:r>
        <w:rPr>
          <w:rFonts w:ascii="Arial" w:hAnsi="Arial" w:cs="Arial"/>
          <w:sz w:val="20"/>
          <w:szCs w:val="20"/>
        </w:rPr>
        <w:t>Agency e</w:t>
      </w:r>
      <w:r w:rsidR="00215236" w:rsidRPr="00215236">
        <w:rPr>
          <w:rFonts w:ascii="Arial" w:hAnsi="Arial" w:cs="Arial"/>
          <w:sz w:val="20"/>
          <w:szCs w:val="20"/>
        </w:rPr>
        <w:t>xpenditure</w:t>
      </w:r>
      <w:r w:rsidR="00C26986">
        <w:rPr>
          <w:rFonts w:ascii="Arial" w:hAnsi="Arial" w:cs="Arial"/>
          <w:sz w:val="20"/>
          <w:szCs w:val="20"/>
        </w:rPr>
        <w:t xml:space="preserve"> </w:t>
      </w:r>
      <w:r w:rsidR="0051697E">
        <w:rPr>
          <w:rFonts w:ascii="Arial" w:hAnsi="Arial" w:cs="Arial"/>
          <w:sz w:val="20"/>
          <w:szCs w:val="20"/>
        </w:rPr>
        <w:t xml:space="preserve">(£0.2m) above plan and NHSI ceiling in-month, </w:t>
      </w:r>
      <w:r w:rsidR="00C26986">
        <w:rPr>
          <w:rFonts w:ascii="Arial" w:hAnsi="Arial" w:cs="Arial"/>
          <w:sz w:val="20"/>
          <w:szCs w:val="20"/>
        </w:rPr>
        <w:t>YTD</w:t>
      </w:r>
      <w:r w:rsidR="00282A36">
        <w:rPr>
          <w:rFonts w:ascii="Arial" w:hAnsi="Arial" w:cs="Arial"/>
          <w:sz w:val="20"/>
          <w:szCs w:val="20"/>
        </w:rPr>
        <w:t xml:space="preserve"> is </w:t>
      </w:r>
      <w:r w:rsidR="0065528D">
        <w:rPr>
          <w:rFonts w:ascii="Arial" w:hAnsi="Arial" w:cs="Arial"/>
          <w:sz w:val="20"/>
          <w:szCs w:val="20"/>
        </w:rPr>
        <w:t>(</w:t>
      </w:r>
      <w:r w:rsidR="00282A36">
        <w:rPr>
          <w:rFonts w:ascii="Arial" w:hAnsi="Arial" w:cs="Arial"/>
          <w:sz w:val="20"/>
          <w:szCs w:val="20"/>
        </w:rPr>
        <w:t>£0.</w:t>
      </w:r>
      <w:r w:rsidR="0051697E">
        <w:rPr>
          <w:rFonts w:ascii="Arial" w:hAnsi="Arial" w:cs="Arial"/>
          <w:sz w:val="20"/>
          <w:szCs w:val="20"/>
        </w:rPr>
        <w:t>9</w:t>
      </w:r>
      <w:r w:rsidR="0033247F">
        <w:rPr>
          <w:rFonts w:ascii="Arial" w:hAnsi="Arial" w:cs="Arial"/>
          <w:sz w:val="20"/>
          <w:szCs w:val="20"/>
        </w:rPr>
        <w:t>m</w:t>
      </w:r>
      <w:r w:rsidR="0065528D">
        <w:rPr>
          <w:rFonts w:ascii="Arial" w:hAnsi="Arial" w:cs="Arial"/>
          <w:sz w:val="20"/>
          <w:szCs w:val="20"/>
        </w:rPr>
        <w:t>)</w:t>
      </w:r>
      <w:r w:rsidR="0051697E">
        <w:rPr>
          <w:rFonts w:ascii="Arial" w:hAnsi="Arial" w:cs="Arial"/>
          <w:sz w:val="20"/>
          <w:szCs w:val="20"/>
        </w:rPr>
        <w:t xml:space="preserve">. </w:t>
      </w:r>
      <w:r w:rsidR="00282A36">
        <w:rPr>
          <w:rFonts w:ascii="Arial" w:hAnsi="Arial" w:cs="Arial"/>
          <w:sz w:val="20"/>
          <w:szCs w:val="20"/>
        </w:rPr>
        <w:t xml:space="preserve">Bank expenditure was </w:t>
      </w:r>
      <w:r w:rsidR="0065528D">
        <w:rPr>
          <w:rFonts w:ascii="Arial" w:hAnsi="Arial" w:cs="Arial"/>
          <w:sz w:val="20"/>
          <w:szCs w:val="20"/>
        </w:rPr>
        <w:t>(</w:t>
      </w:r>
      <w:r w:rsidR="00282A36">
        <w:rPr>
          <w:rFonts w:ascii="Arial" w:hAnsi="Arial" w:cs="Arial"/>
          <w:sz w:val="20"/>
          <w:szCs w:val="20"/>
        </w:rPr>
        <w:t>£0.</w:t>
      </w:r>
      <w:r w:rsidR="0051697E">
        <w:rPr>
          <w:rFonts w:ascii="Arial" w:hAnsi="Arial" w:cs="Arial"/>
          <w:sz w:val="20"/>
          <w:szCs w:val="20"/>
        </w:rPr>
        <w:t>2</w:t>
      </w:r>
      <w:r w:rsidR="00282A36">
        <w:rPr>
          <w:rFonts w:ascii="Arial" w:hAnsi="Arial" w:cs="Arial"/>
          <w:sz w:val="20"/>
          <w:szCs w:val="20"/>
        </w:rPr>
        <w:t>m</w:t>
      </w:r>
      <w:r w:rsidR="0065528D">
        <w:rPr>
          <w:rFonts w:ascii="Arial" w:hAnsi="Arial" w:cs="Arial"/>
          <w:sz w:val="20"/>
          <w:szCs w:val="20"/>
        </w:rPr>
        <w:t>)</w:t>
      </w:r>
      <w:r w:rsidR="00282A36">
        <w:rPr>
          <w:rFonts w:ascii="Arial" w:hAnsi="Arial" w:cs="Arial"/>
          <w:sz w:val="20"/>
          <w:szCs w:val="20"/>
        </w:rPr>
        <w:t xml:space="preserve"> </w:t>
      </w:r>
      <w:r w:rsidR="0051697E">
        <w:rPr>
          <w:rFonts w:ascii="Arial" w:hAnsi="Arial" w:cs="Arial"/>
          <w:sz w:val="20"/>
          <w:szCs w:val="20"/>
        </w:rPr>
        <w:t>high</w:t>
      </w:r>
      <w:r w:rsidR="00282A36">
        <w:rPr>
          <w:rFonts w:ascii="Arial" w:hAnsi="Arial" w:cs="Arial"/>
          <w:sz w:val="20"/>
          <w:szCs w:val="20"/>
        </w:rPr>
        <w:t xml:space="preserve">er in </w:t>
      </w:r>
      <w:r w:rsidR="0051697E">
        <w:rPr>
          <w:rFonts w:ascii="Arial" w:hAnsi="Arial" w:cs="Arial"/>
          <w:sz w:val="20"/>
          <w:szCs w:val="20"/>
        </w:rPr>
        <w:t>Octo</w:t>
      </w:r>
      <w:r w:rsidR="00282A36">
        <w:rPr>
          <w:rFonts w:ascii="Arial" w:hAnsi="Arial" w:cs="Arial"/>
          <w:sz w:val="20"/>
          <w:szCs w:val="20"/>
        </w:rPr>
        <w:t xml:space="preserve">ber than </w:t>
      </w:r>
      <w:r w:rsidR="0051697E">
        <w:rPr>
          <w:rFonts w:ascii="Arial" w:hAnsi="Arial" w:cs="Arial"/>
          <w:sz w:val="20"/>
          <w:szCs w:val="20"/>
        </w:rPr>
        <w:t>September</w:t>
      </w:r>
      <w:r w:rsidR="00282A36">
        <w:rPr>
          <w:rFonts w:ascii="Arial" w:hAnsi="Arial" w:cs="Arial"/>
          <w:sz w:val="20"/>
          <w:szCs w:val="20"/>
        </w:rPr>
        <w:t xml:space="preserve">, driven by </w:t>
      </w:r>
      <w:r w:rsidR="0051697E">
        <w:rPr>
          <w:rFonts w:ascii="Arial" w:hAnsi="Arial" w:cs="Arial"/>
          <w:sz w:val="20"/>
          <w:szCs w:val="20"/>
        </w:rPr>
        <w:t>an increase for consultant locums</w:t>
      </w:r>
      <w:r w:rsidR="00282A36">
        <w:rPr>
          <w:rFonts w:ascii="Arial" w:hAnsi="Arial" w:cs="Arial"/>
          <w:sz w:val="20"/>
          <w:szCs w:val="20"/>
        </w:rPr>
        <w:t>.</w:t>
      </w:r>
    </w:p>
    <w:p w14:paraId="688CAF96" w14:textId="2FDCBFA0" w:rsidR="005A58A6" w:rsidRPr="00215236" w:rsidRDefault="00215236" w:rsidP="00215236">
      <w:r>
        <w:t xml:space="preserve">CIP delivery is </w:t>
      </w:r>
      <w:r w:rsidR="0033247F">
        <w:t>£0.</w:t>
      </w:r>
      <w:r w:rsidR="00632258">
        <w:t>1</w:t>
      </w:r>
      <w:r w:rsidR="00282A36">
        <w:t>5</w:t>
      </w:r>
      <w:r w:rsidR="0033247F">
        <w:t>m</w:t>
      </w:r>
      <w:r w:rsidR="00914CED">
        <w:t xml:space="preserve"> ahead of</w:t>
      </w:r>
      <w:r w:rsidR="00C26986">
        <w:t xml:space="preserve"> plan YTD</w:t>
      </w:r>
      <w:r w:rsidR="00914CED">
        <w:t>, and</w:t>
      </w:r>
      <w:r w:rsidR="00776FF6">
        <w:t xml:space="preserve"> £</w:t>
      </w:r>
      <w:r w:rsidR="00603813">
        <w:t>0.</w:t>
      </w:r>
      <w:r w:rsidR="00632258">
        <w:t>4</w:t>
      </w:r>
      <w:r w:rsidR="00603813">
        <w:t>m</w:t>
      </w:r>
      <w:r>
        <w:t xml:space="preserve"> higher than in the same period of 2018/19. </w:t>
      </w:r>
      <w:r w:rsidR="00914CED">
        <w:t xml:space="preserve">The CIP plan has been profiled to increase during the financial year. </w:t>
      </w:r>
      <w:r>
        <w:t>Schemes to deliver the full annual CIP plan of £13.7m have been identified.</w:t>
      </w:r>
    </w:p>
    <w:p w14:paraId="71E4540A" w14:textId="09959A91" w:rsidR="00251502" w:rsidRDefault="00437AEB" w:rsidP="003A7237">
      <w:pPr>
        <w:spacing w:before="240"/>
        <w:jc w:val="both"/>
        <w:rPr>
          <w:rFonts w:ascii="Arial" w:hAnsi="Arial" w:cs="Arial"/>
          <w:sz w:val="20"/>
          <w:szCs w:val="20"/>
        </w:rPr>
      </w:pPr>
      <w:r>
        <w:rPr>
          <w:rFonts w:ascii="Arial" w:hAnsi="Arial" w:cs="Arial"/>
          <w:sz w:val="20"/>
          <w:szCs w:val="20"/>
        </w:rPr>
        <w:t xml:space="preserve">The </w:t>
      </w:r>
      <w:r w:rsidR="00F30009">
        <w:rPr>
          <w:rFonts w:ascii="Arial" w:hAnsi="Arial" w:cs="Arial"/>
          <w:sz w:val="20"/>
          <w:szCs w:val="20"/>
        </w:rPr>
        <w:t xml:space="preserve">EBITDA </w:t>
      </w:r>
      <w:r w:rsidR="00BC54E9">
        <w:rPr>
          <w:rFonts w:ascii="Arial" w:hAnsi="Arial" w:cs="Arial"/>
          <w:sz w:val="20"/>
          <w:szCs w:val="20"/>
        </w:rPr>
        <w:t>po</w:t>
      </w:r>
      <w:r w:rsidR="00776FF6">
        <w:rPr>
          <w:rFonts w:ascii="Arial" w:hAnsi="Arial" w:cs="Arial"/>
          <w:sz w:val="20"/>
          <w:szCs w:val="20"/>
        </w:rPr>
        <w:t xml:space="preserve">sition for </w:t>
      </w:r>
      <w:r w:rsidR="00632258">
        <w:rPr>
          <w:rFonts w:ascii="Arial" w:hAnsi="Arial" w:cs="Arial"/>
          <w:sz w:val="20"/>
          <w:szCs w:val="20"/>
        </w:rPr>
        <w:t>October</w:t>
      </w:r>
      <w:r w:rsidR="00C26986">
        <w:rPr>
          <w:rFonts w:ascii="Arial" w:hAnsi="Arial" w:cs="Arial"/>
          <w:sz w:val="20"/>
          <w:szCs w:val="20"/>
        </w:rPr>
        <w:t xml:space="preserve"> </w:t>
      </w:r>
      <w:r w:rsidR="00603813">
        <w:rPr>
          <w:rFonts w:ascii="Arial" w:hAnsi="Arial" w:cs="Arial"/>
          <w:sz w:val="20"/>
          <w:szCs w:val="20"/>
        </w:rPr>
        <w:t>2019 was positive £1.</w:t>
      </w:r>
      <w:r w:rsidR="00632258">
        <w:rPr>
          <w:rFonts w:ascii="Arial" w:hAnsi="Arial" w:cs="Arial"/>
          <w:sz w:val="20"/>
          <w:szCs w:val="20"/>
        </w:rPr>
        <w:t>9</w:t>
      </w:r>
      <w:r w:rsidR="00BC54E9">
        <w:rPr>
          <w:rFonts w:ascii="Arial" w:hAnsi="Arial" w:cs="Arial"/>
          <w:sz w:val="20"/>
          <w:szCs w:val="20"/>
        </w:rPr>
        <w:t>m</w:t>
      </w:r>
      <w:r w:rsidR="00045300">
        <w:rPr>
          <w:rFonts w:ascii="Arial" w:hAnsi="Arial" w:cs="Arial"/>
          <w:sz w:val="20"/>
          <w:szCs w:val="20"/>
        </w:rPr>
        <w:t xml:space="preserve">, </w:t>
      </w:r>
      <w:r w:rsidR="00603813">
        <w:rPr>
          <w:rFonts w:ascii="Arial" w:hAnsi="Arial" w:cs="Arial"/>
          <w:sz w:val="20"/>
          <w:szCs w:val="20"/>
        </w:rPr>
        <w:t>(£</w:t>
      </w:r>
      <w:r w:rsidR="00632258">
        <w:rPr>
          <w:rFonts w:ascii="Arial" w:hAnsi="Arial" w:cs="Arial"/>
          <w:sz w:val="20"/>
          <w:szCs w:val="20"/>
        </w:rPr>
        <w:t>1</w:t>
      </w:r>
      <w:r w:rsidR="00603813">
        <w:rPr>
          <w:rFonts w:ascii="Arial" w:hAnsi="Arial" w:cs="Arial"/>
          <w:sz w:val="20"/>
          <w:szCs w:val="20"/>
        </w:rPr>
        <w:t>.</w:t>
      </w:r>
      <w:r w:rsidR="00632258">
        <w:rPr>
          <w:rFonts w:ascii="Arial" w:hAnsi="Arial" w:cs="Arial"/>
          <w:sz w:val="20"/>
          <w:szCs w:val="20"/>
        </w:rPr>
        <w:t>0</w:t>
      </w:r>
      <w:r w:rsidR="00045300">
        <w:rPr>
          <w:rFonts w:ascii="Arial" w:hAnsi="Arial" w:cs="Arial"/>
          <w:sz w:val="20"/>
          <w:szCs w:val="20"/>
        </w:rPr>
        <w:t>m</w:t>
      </w:r>
      <w:r w:rsidR="00603813">
        <w:rPr>
          <w:rFonts w:ascii="Arial" w:hAnsi="Arial" w:cs="Arial"/>
          <w:sz w:val="20"/>
          <w:szCs w:val="20"/>
        </w:rPr>
        <w:t>) behind</w:t>
      </w:r>
      <w:r w:rsidR="00045300">
        <w:rPr>
          <w:rFonts w:ascii="Arial" w:hAnsi="Arial" w:cs="Arial"/>
          <w:sz w:val="20"/>
          <w:szCs w:val="20"/>
        </w:rPr>
        <w:t xml:space="preserve"> plan</w:t>
      </w:r>
      <w:r w:rsidR="00C26986">
        <w:rPr>
          <w:rFonts w:ascii="Arial" w:hAnsi="Arial" w:cs="Arial"/>
          <w:sz w:val="20"/>
          <w:szCs w:val="20"/>
        </w:rPr>
        <w:t xml:space="preserve">, YTD </w:t>
      </w:r>
      <w:r w:rsidR="00603813">
        <w:rPr>
          <w:rFonts w:ascii="Arial" w:hAnsi="Arial" w:cs="Arial"/>
          <w:sz w:val="20"/>
          <w:szCs w:val="20"/>
        </w:rPr>
        <w:t>positive £</w:t>
      </w:r>
      <w:r w:rsidR="00632258">
        <w:rPr>
          <w:rFonts w:ascii="Arial" w:hAnsi="Arial" w:cs="Arial"/>
          <w:sz w:val="20"/>
          <w:szCs w:val="20"/>
        </w:rPr>
        <w:t>8</w:t>
      </w:r>
      <w:r w:rsidR="00603813">
        <w:rPr>
          <w:rFonts w:ascii="Arial" w:hAnsi="Arial" w:cs="Arial"/>
          <w:sz w:val="20"/>
          <w:szCs w:val="20"/>
        </w:rPr>
        <w:t>.</w:t>
      </w:r>
      <w:r w:rsidR="00632258">
        <w:rPr>
          <w:rFonts w:ascii="Arial" w:hAnsi="Arial" w:cs="Arial"/>
          <w:sz w:val="20"/>
          <w:szCs w:val="20"/>
        </w:rPr>
        <w:t>4</w:t>
      </w:r>
      <w:r w:rsidR="00603813">
        <w:rPr>
          <w:rFonts w:ascii="Arial" w:hAnsi="Arial" w:cs="Arial"/>
          <w:sz w:val="20"/>
          <w:szCs w:val="20"/>
        </w:rPr>
        <w:t>m, £</w:t>
      </w:r>
      <w:r w:rsidR="00632258">
        <w:rPr>
          <w:rFonts w:ascii="Arial" w:hAnsi="Arial" w:cs="Arial"/>
          <w:sz w:val="20"/>
          <w:szCs w:val="20"/>
        </w:rPr>
        <w:t>0</w:t>
      </w:r>
      <w:r w:rsidR="00603813">
        <w:rPr>
          <w:rFonts w:ascii="Arial" w:hAnsi="Arial" w:cs="Arial"/>
          <w:sz w:val="20"/>
          <w:szCs w:val="20"/>
        </w:rPr>
        <w:t>.9</w:t>
      </w:r>
      <w:r w:rsidR="004A1BD3">
        <w:rPr>
          <w:rFonts w:ascii="Arial" w:hAnsi="Arial" w:cs="Arial"/>
          <w:sz w:val="20"/>
          <w:szCs w:val="20"/>
        </w:rPr>
        <w:t>m better than plan</w:t>
      </w:r>
      <w:r>
        <w:rPr>
          <w:rFonts w:ascii="Arial" w:hAnsi="Arial" w:cs="Arial"/>
          <w:sz w:val="20"/>
          <w:szCs w:val="20"/>
        </w:rPr>
        <w:t>.</w:t>
      </w:r>
      <w:r w:rsidR="006F44FD">
        <w:rPr>
          <w:rFonts w:ascii="Arial" w:hAnsi="Arial" w:cs="Arial"/>
          <w:sz w:val="20"/>
          <w:szCs w:val="20"/>
        </w:rPr>
        <w:t xml:space="preserve">  This com</w:t>
      </w:r>
      <w:r w:rsidR="00045300">
        <w:rPr>
          <w:rFonts w:ascii="Arial" w:hAnsi="Arial" w:cs="Arial"/>
          <w:sz w:val="20"/>
          <w:szCs w:val="20"/>
        </w:rPr>
        <w:t>par</w:t>
      </w:r>
      <w:r w:rsidR="007B4C47">
        <w:rPr>
          <w:rFonts w:ascii="Arial" w:hAnsi="Arial" w:cs="Arial"/>
          <w:sz w:val="20"/>
          <w:szCs w:val="20"/>
        </w:rPr>
        <w:t xml:space="preserve">es to a </w:t>
      </w:r>
      <w:r w:rsidR="00632258">
        <w:rPr>
          <w:rFonts w:ascii="Arial" w:hAnsi="Arial" w:cs="Arial"/>
          <w:sz w:val="20"/>
          <w:szCs w:val="20"/>
        </w:rPr>
        <w:t>posi</w:t>
      </w:r>
      <w:r w:rsidR="007B4C47">
        <w:rPr>
          <w:rFonts w:ascii="Arial" w:hAnsi="Arial" w:cs="Arial"/>
          <w:sz w:val="20"/>
          <w:szCs w:val="20"/>
        </w:rPr>
        <w:t>tive</w:t>
      </w:r>
      <w:r w:rsidR="004A1BD3">
        <w:rPr>
          <w:rFonts w:ascii="Arial" w:hAnsi="Arial" w:cs="Arial"/>
          <w:sz w:val="20"/>
          <w:szCs w:val="20"/>
        </w:rPr>
        <w:t xml:space="preserve"> EBITDA of </w:t>
      </w:r>
      <w:r w:rsidR="00603813">
        <w:rPr>
          <w:rFonts w:ascii="Arial" w:hAnsi="Arial" w:cs="Arial"/>
          <w:sz w:val="20"/>
          <w:szCs w:val="20"/>
        </w:rPr>
        <w:t>£</w:t>
      </w:r>
      <w:r w:rsidR="00632258">
        <w:rPr>
          <w:rFonts w:ascii="Arial" w:hAnsi="Arial" w:cs="Arial"/>
          <w:sz w:val="20"/>
          <w:szCs w:val="20"/>
        </w:rPr>
        <w:t>1</w:t>
      </w:r>
      <w:r w:rsidR="00603813">
        <w:rPr>
          <w:rFonts w:ascii="Arial" w:hAnsi="Arial" w:cs="Arial"/>
          <w:sz w:val="20"/>
          <w:szCs w:val="20"/>
        </w:rPr>
        <w:t>.</w:t>
      </w:r>
      <w:r w:rsidR="00632258">
        <w:rPr>
          <w:rFonts w:ascii="Arial" w:hAnsi="Arial" w:cs="Arial"/>
          <w:sz w:val="20"/>
          <w:szCs w:val="20"/>
        </w:rPr>
        <w:t>6</w:t>
      </w:r>
      <w:r w:rsidR="00876F41">
        <w:rPr>
          <w:rFonts w:ascii="Arial" w:hAnsi="Arial" w:cs="Arial"/>
          <w:sz w:val="20"/>
          <w:szCs w:val="20"/>
        </w:rPr>
        <w:t>m</w:t>
      </w:r>
      <w:r w:rsidR="00C26986">
        <w:rPr>
          <w:rFonts w:ascii="Arial" w:hAnsi="Arial" w:cs="Arial"/>
          <w:sz w:val="20"/>
          <w:szCs w:val="20"/>
        </w:rPr>
        <w:t xml:space="preserve"> YTD</w:t>
      </w:r>
      <w:r w:rsidR="00603813">
        <w:rPr>
          <w:rFonts w:ascii="Arial" w:hAnsi="Arial" w:cs="Arial"/>
          <w:sz w:val="20"/>
          <w:szCs w:val="20"/>
        </w:rPr>
        <w:t xml:space="preserve"> </w:t>
      </w:r>
      <w:r w:rsidR="00CC1108">
        <w:rPr>
          <w:rFonts w:ascii="Arial" w:hAnsi="Arial" w:cs="Arial"/>
          <w:sz w:val="20"/>
          <w:szCs w:val="20"/>
        </w:rPr>
        <w:t xml:space="preserve">at </w:t>
      </w:r>
      <w:r w:rsidR="00632258">
        <w:rPr>
          <w:rFonts w:ascii="Arial" w:hAnsi="Arial" w:cs="Arial"/>
          <w:sz w:val="20"/>
          <w:szCs w:val="20"/>
        </w:rPr>
        <w:t>Octo</w:t>
      </w:r>
      <w:r w:rsidR="00603813">
        <w:rPr>
          <w:rFonts w:ascii="Arial" w:hAnsi="Arial" w:cs="Arial"/>
          <w:sz w:val="20"/>
          <w:szCs w:val="20"/>
        </w:rPr>
        <w:t>ber</w:t>
      </w:r>
      <w:r w:rsidR="004A1BD3">
        <w:rPr>
          <w:rFonts w:ascii="Arial" w:hAnsi="Arial" w:cs="Arial"/>
          <w:sz w:val="20"/>
          <w:szCs w:val="20"/>
        </w:rPr>
        <w:t xml:space="preserve"> 2018</w:t>
      </w:r>
      <w:r>
        <w:rPr>
          <w:rFonts w:ascii="Arial" w:hAnsi="Arial" w:cs="Arial"/>
          <w:sz w:val="20"/>
          <w:szCs w:val="20"/>
        </w:rPr>
        <w:t>.</w:t>
      </w:r>
      <w:r w:rsidR="00251502">
        <w:rPr>
          <w:rFonts w:ascii="Arial" w:hAnsi="Arial" w:cs="Arial"/>
          <w:sz w:val="20"/>
          <w:szCs w:val="20"/>
        </w:rPr>
        <w:t xml:space="preserve"> </w:t>
      </w:r>
    </w:p>
    <w:p w14:paraId="7CBB9293" w14:textId="36777953" w:rsidR="00927174" w:rsidRDefault="00927174" w:rsidP="003A7237">
      <w:pPr>
        <w:spacing w:before="240"/>
        <w:jc w:val="both"/>
        <w:rPr>
          <w:rFonts w:ascii="Arial" w:hAnsi="Arial" w:cs="Arial"/>
          <w:sz w:val="20"/>
          <w:szCs w:val="20"/>
        </w:rPr>
      </w:pPr>
    </w:p>
    <w:p w14:paraId="7486BFB2" w14:textId="131C3F00" w:rsidR="009C6A29" w:rsidRPr="00D00ABA" w:rsidRDefault="0017663A" w:rsidP="003A7237">
      <w:pPr>
        <w:spacing w:before="240"/>
        <w:jc w:val="both"/>
        <w:rPr>
          <w:rFonts w:ascii="Arial" w:hAnsi="Arial" w:cs="Arial"/>
          <w:sz w:val="20"/>
          <w:szCs w:val="20"/>
        </w:rPr>
      </w:pPr>
      <w:r w:rsidRPr="0017663A">
        <w:rPr>
          <w:noProof/>
        </w:rPr>
        <w:lastRenderedPageBreak/>
        <w:drawing>
          <wp:inline distT="0" distB="0" distL="0" distR="0" wp14:anchorId="1BF2E71F" wp14:editId="482E824F">
            <wp:extent cx="5943600" cy="21520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152015"/>
                    </a:xfrm>
                    <a:prstGeom prst="rect">
                      <a:avLst/>
                    </a:prstGeom>
                    <a:noFill/>
                    <a:ln>
                      <a:noFill/>
                    </a:ln>
                  </pic:spPr>
                </pic:pic>
              </a:graphicData>
            </a:graphic>
          </wp:inline>
        </w:drawing>
      </w:r>
    </w:p>
    <w:p w14:paraId="487E7FCF" w14:textId="77777777" w:rsidR="00C26986" w:rsidRPr="008D69CB" w:rsidRDefault="00C26986" w:rsidP="00C26986">
      <w:pPr>
        <w:rPr>
          <w:rFonts w:ascii="Arial" w:hAnsi="Arial" w:cs="Arial"/>
          <w:sz w:val="20"/>
          <w:szCs w:val="20"/>
        </w:rPr>
      </w:pPr>
      <w:r w:rsidRPr="008D69CB">
        <w:rPr>
          <w:rFonts w:ascii="Arial" w:hAnsi="Arial" w:cs="Arial"/>
          <w:sz w:val="20"/>
          <w:szCs w:val="20"/>
        </w:rPr>
        <w:t xml:space="preserve">The Trust’s Single Oversight Framework (SOF) segmentation remains 2. SOF is a methodology used by NHSI to position providers into segments 1 to 4, reflecting an assessment of the level of support each provider requires – 1 is maximum autonomy, 4 is special measures. As a 2, the Trust will be provided with targeted support. SOF is an assessment across quality of care, finance &amp; use of resources, operational performance, strategic change, and leadership &amp; improvement capability. </w:t>
      </w:r>
    </w:p>
    <w:p w14:paraId="2AF48867" w14:textId="21994203" w:rsidR="00D77C7D" w:rsidRDefault="00A02F93" w:rsidP="00A224E6">
      <w:pPr>
        <w:spacing w:after="0" w:line="240" w:lineRule="auto"/>
        <w:rPr>
          <w:rFonts w:ascii="Arial" w:hAnsi="Arial" w:cs="Arial"/>
          <w:sz w:val="20"/>
          <w:szCs w:val="20"/>
        </w:rPr>
      </w:pPr>
      <w:r>
        <w:rPr>
          <w:rFonts w:ascii="Arial" w:hAnsi="Arial" w:cs="Arial"/>
          <w:sz w:val="20"/>
          <w:szCs w:val="20"/>
        </w:rPr>
        <w:t xml:space="preserve">Provider Sustainability Fund (PSF) and Financial Recovery Fund (FRF) </w:t>
      </w:r>
      <w:r w:rsidR="00945B04">
        <w:rPr>
          <w:rFonts w:ascii="Arial" w:hAnsi="Arial" w:cs="Arial"/>
          <w:sz w:val="20"/>
          <w:szCs w:val="20"/>
        </w:rPr>
        <w:t>have</w:t>
      </w:r>
      <w:r w:rsidR="00ED3053" w:rsidRPr="00EF44F2">
        <w:rPr>
          <w:rFonts w:ascii="Arial" w:hAnsi="Arial" w:cs="Arial"/>
          <w:sz w:val="20"/>
          <w:szCs w:val="20"/>
        </w:rPr>
        <w:t xml:space="preserve"> been ea</w:t>
      </w:r>
      <w:r>
        <w:rPr>
          <w:rFonts w:ascii="Arial" w:hAnsi="Arial" w:cs="Arial"/>
          <w:sz w:val="20"/>
          <w:szCs w:val="20"/>
        </w:rPr>
        <w:t>rned and recognised YTD</w:t>
      </w:r>
      <w:r w:rsidR="00ED3053" w:rsidRPr="00EF44F2">
        <w:rPr>
          <w:rFonts w:ascii="Arial" w:hAnsi="Arial" w:cs="Arial"/>
          <w:sz w:val="20"/>
          <w:szCs w:val="20"/>
        </w:rPr>
        <w:t>.</w:t>
      </w:r>
      <w:r w:rsidR="00ED3053">
        <w:rPr>
          <w:rFonts w:ascii="Arial" w:hAnsi="Arial" w:cs="Arial"/>
          <w:sz w:val="20"/>
          <w:szCs w:val="20"/>
        </w:rPr>
        <w:t xml:space="preserve"> </w:t>
      </w:r>
      <w:r w:rsidR="00FB5454">
        <w:rPr>
          <w:rFonts w:ascii="Arial" w:hAnsi="Arial" w:cs="Arial"/>
          <w:sz w:val="20"/>
          <w:szCs w:val="20"/>
        </w:rPr>
        <w:t>It</w:t>
      </w:r>
      <w:r w:rsidR="00945B04">
        <w:rPr>
          <w:rFonts w:ascii="Arial" w:hAnsi="Arial" w:cs="Arial"/>
          <w:sz w:val="20"/>
          <w:szCs w:val="20"/>
        </w:rPr>
        <w:t xml:space="preserve"> is planned</w:t>
      </w:r>
      <w:r w:rsidR="00735E77">
        <w:rPr>
          <w:rFonts w:ascii="Arial" w:hAnsi="Arial" w:cs="Arial"/>
          <w:sz w:val="20"/>
          <w:szCs w:val="20"/>
        </w:rPr>
        <w:t xml:space="preserve"> </w:t>
      </w:r>
      <w:r w:rsidR="0071734A">
        <w:rPr>
          <w:rFonts w:ascii="Arial" w:hAnsi="Arial" w:cs="Arial"/>
          <w:sz w:val="20"/>
          <w:szCs w:val="20"/>
        </w:rPr>
        <w:t xml:space="preserve">that </w:t>
      </w:r>
      <w:r w:rsidR="00D77C7D" w:rsidRPr="00EF44F2">
        <w:rPr>
          <w:rFonts w:ascii="Arial" w:hAnsi="Arial" w:cs="Arial"/>
          <w:sz w:val="20"/>
          <w:szCs w:val="20"/>
        </w:rPr>
        <w:t>the Trust will a</w:t>
      </w:r>
      <w:r w:rsidR="00945B04">
        <w:rPr>
          <w:rFonts w:ascii="Arial" w:hAnsi="Arial" w:cs="Arial"/>
          <w:sz w:val="20"/>
          <w:szCs w:val="20"/>
        </w:rPr>
        <w:t xml:space="preserve">chieve its control total in 2019/20 to earn £20.4m from PSF and FRF in-year. </w:t>
      </w:r>
      <w:r w:rsidR="00EA5D99">
        <w:rPr>
          <w:rFonts w:ascii="Arial" w:hAnsi="Arial" w:cs="Arial"/>
          <w:sz w:val="20"/>
          <w:szCs w:val="20"/>
        </w:rPr>
        <w:t xml:space="preserve"> </w:t>
      </w:r>
      <w:r w:rsidR="00945B04">
        <w:rPr>
          <w:rFonts w:ascii="Arial" w:hAnsi="Arial" w:cs="Arial"/>
          <w:sz w:val="20"/>
          <w:szCs w:val="20"/>
        </w:rPr>
        <w:t xml:space="preserve">The most significant risks against achievement of the control total are </w:t>
      </w:r>
      <w:r w:rsidR="00876535">
        <w:rPr>
          <w:rFonts w:ascii="Arial" w:hAnsi="Arial" w:cs="Arial"/>
          <w:sz w:val="20"/>
          <w:szCs w:val="20"/>
        </w:rPr>
        <w:t xml:space="preserve">a </w:t>
      </w:r>
      <w:r w:rsidR="00945B04">
        <w:rPr>
          <w:rFonts w:ascii="Arial" w:hAnsi="Arial" w:cs="Arial"/>
          <w:sz w:val="20"/>
          <w:szCs w:val="20"/>
        </w:rPr>
        <w:t xml:space="preserve">possible </w:t>
      </w:r>
      <w:r w:rsidR="00876535">
        <w:rPr>
          <w:rFonts w:ascii="Arial" w:hAnsi="Arial" w:cs="Arial"/>
          <w:sz w:val="20"/>
          <w:szCs w:val="20"/>
        </w:rPr>
        <w:t xml:space="preserve">further </w:t>
      </w:r>
      <w:r w:rsidR="00945B04">
        <w:rPr>
          <w:rFonts w:ascii="Arial" w:hAnsi="Arial" w:cs="Arial"/>
          <w:sz w:val="20"/>
          <w:szCs w:val="20"/>
        </w:rPr>
        <w:t xml:space="preserve">downward valuation of Chelsea Farmers Market linked to local property values, non-delivery of the full CIP plan, and </w:t>
      </w:r>
      <w:r w:rsidR="00876535">
        <w:rPr>
          <w:rFonts w:ascii="Arial" w:hAnsi="Arial" w:cs="Arial"/>
          <w:sz w:val="20"/>
          <w:szCs w:val="20"/>
        </w:rPr>
        <w:t xml:space="preserve">additional </w:t>
      </w:r>
      <w:r w:rsidR="00945B04">
        <w:rPr>
          <w:rFonts w:ascii="Arial" w:hAnsi="Arial" w:cs="Arial"/>
          <w:sz w:val="20"/>
          <w:szCs w:val="20"/>
        </w:rPr>
        <w:t xml:space="preserve">expenditure </w:t>
      </w:r>
      <w:r w:rsidR="00CC1108">
        <w:rPr>
          <w:rFonts w:ascii="Arial" w:hAnsi="Arial" w:cs="Arial"/>
          <w:sz w:val="20"/>
          <w:szCs w:val="20"/>
        </w:rPr>
        <w:t xml:space="preserve">likely to be </w:t>
      </w:r>
      <w:r w:rsidR="00945B04">
        <w:rPr>
          <w:rFonts w:ascii="Arial" w:hAnsi="Arial" w:cs="Arial"/>
          <w:sz w:val="20"/>
          <w:szCs w:val="20"/>
        </w:rPr>
        <w:t>incurred should we deliver activity in excess of the block contract with NHSE.</w:t>
      </w:r>
    </w:p>
    <w:p w14:paraId="1BE76FED" w14:textId="12FA3EB3" w:rsidR="00A224E6" w:rsidRDefault="00A224E6" w:rsidP="00A224E6">
      <w:pPr>
        <w:spacing w:after="0" w:line="240" w:lineRule="auto"/>
        <w:rPr>
          <w:rFonts w:ascii="Arial" w:hAnsi="Arial" w:cs="Arial"/>
          <w:sz w:val="20"/>
          <w:szCs w:val="20"/>
        </w:rPr>
      </w:pPr>
    </w:p>
    <w:p w14:paraId="254421C9" w14:textId="1238269F" w:rsidR="00725182" w:rsidRDefault="00725182" w:rsidP="00A224E6">
      <w:pPr>
        <w:spacing w:after="0" w:line="240" w:lineRule="auto"/>
        <w:rPr>
          <w:rFonts w:ascii="Arial" w:hAnsi="Arial" w:cs="Arial"/>
          <w:sz w:val="20"/>
          <w:szCs w:val="20"/>
        </w:rPr>
      </w:pPr>
      <w:r>
        <w:rPr>
          <w:rFonts w:ascii="Arial" w:hAnsi="Arial" w:cs="Arial"/>
          <w:sz w:val="20"/>
          <w:szCs w:val="20"/>
        </w:rPr>
        <w:t>The forecast deficit has improved by £336k c</w:t>
      </w:r>
      <w:r w:rsidR="00AA55C1">
        <w:rPr>
          <w:rFonts w:ascii="Arial" w:hAnsi="Arial" w:cs="Arial"/>
          <w:sz w:val="20"/>
          <w:szCs w:val="20"/>
        </w:rPr>
        <w:t xml:space="preserve">ompared to plan, reflecting </w:t>
      </w:r>
      <w:r>
        <w:rPr>
          <w:rFonts w:ascii="Arial" w:hAnsi="Arial" w:cs="Arial"/>
          <w:sz w:val="20"/>
          <w:szCs w:val="20"/>
        </w:rPr>
        <w:t xml:space="preserve">unplanned additional Incentive PSF relating to </w:t>
      </w:r>
      <w:r w:rsidR="00876535">
        <w:rPr>
          <w:rFonts w:ascii="Arial" w:hAnsi="Arial" w:cs="Arial"/>
          <w:sz w:val="20"/>
          <w:szCs w:val="20"/>
        </w:rPr>
        <w:t>2018/19</w:t>
      </w:r>
      <w:r>
        <w:rPr>
          <w:rFonts w:ascii="Arial" w:hAnsi="Arial" w:cs="Arial"/>
          <w:sz w:val="20"/>
          <w:szCs w:val="20"/>
        </w:rPr>
        <w:t>.</w:t>
      </w:r>
      <w:r w:rsidR="0033247F">
        <w:rPr>
          <w:rFonts w:ascii="Arial" w:hAnsi="Arial" w:cs="Arial"/>
          <w:sz w:val="20"/>
          <w:szCs w:val="20"/>
        </w:rPr>
        <w:t xml:space="preserve"> Improvements to </w:t>
      </w:r>
      <w:r w:rsidR="00CC1108">
        <w:rPr>
          <w:rFonts w:ascii="Arial" w:hAnsi="Arial" w:cs="Arial"/>
          <w:sz w:val="20"/>
          <w:szCs w:val="20"/>
        </w:rPr>
        <w:t>underlying performance relative to plan</w:t>
      </w:r>
      <w:r w:rsidR="0033247F">
        <w:rPr>
          <w:rFonts w:ascii="Arial" w:hAnsi="Arial" w:cs="Arial"/>
          <w:sz w:val="20"/>
          <w:szCs w:val="20"/>
        </w:rPr>
        <w:t xml:space="preserve"> are at risk of being offset by a downward valuation of Chelsea Farmers Market.</w:t>
      </w:r>
    </w:p>
    <w:p w14:paraId="04DA141C" w14:textId="77777777" w:rsidR="00725182" w:rsidRPr="00D00ABA" w:rsidRDefault="00725182" w:rsidP="00A224E6">
      <w:pPr>
        <w:spacing w:after="0" w:line="240" w:lineRule="auto"/>
        <w:rPr>
          <w:rFonts w:ascii="Arial" w:hAnsi="Arial" w:cs="Arial"/>
          <w:sz w:val="20"/>
          <w:szCs w:val="20"/>
        </w:rPr>
      </w:pPr>
    </w:p>
    <w:p w14:paraId="6B010882" w14:textId="6EF1949A" w:rsidR="00683DF7" w:rsidRDefault="00945B04" w:rsidP="00683DF7">
      <w:pPr>
        <w:jc w:val="both"/>
        <w:rPr>
          <w:rFonts w:ascii="Arial" w:hAnsi="Arial" w:cs="Arial"/>
          <w:sz w:val="20"/>
          <w:szCs w:val="20"/>
        </w:rPr>
      </w:pPr>
      <w:r w:rsidRPr="00945B04">
        <w:rPr>
          <w:rFonts w:ascii="Arial" w:hAnsi="Arial" w:cs="Arial"/>
          <w:sz w:val="20"/>
          <w:szCs w:val="20"/>
        </w:rPr>
        <w:t>The forecast underlying position has been calcul</w:t>
      </w:r>
      <w:r w:rsidR="008D69CB">
        <w:rPr>
          <w:rFonts w:ascii="Arial" w:hAnsi="Arial" w:cs="Arial"/>
          <w:sz w:val="20"/>
          <w:szCs w:val="20"/>
        </w:rPr>
        <w:t>ated by removing PSF and FRF</w:t>
      </w:r>
      <w:r w:rsidRPr="00945B04">
        <w:rPr>
          <w:rFonts w:ascii="Arial" w:hAnsi="Arial" w:cs="Arial"/>
          <w:sz w:val="20"/>
          <w:szCs w:val="20"/>
        </w:rPr>
        <w:t xml:space="preserve"> from the plan position although it is anticipated t</w:t>
      </w:r>
      <w:r>
        <w:rPr>
          <w:rFonts w:ascii="Arial" w:hAnsi="Arial" w:cs="Arial"/>
          <w:sz w:val="20"/>
          <w:szCs w:val="20"/>
        </w:rPr>
        <w:t>hat this will be earned in full</w:t>
      </w:r>
      <w:r w:rsidRPr="00945B04">
        <w:rPr>
          <w:rFonts w:ascii="Arial" w:hAnsi="Arial" w:cs="Arial"/>
          <w:sz w:val="20"/>
          <w:szCs w:val="20"/>
        </w:rPr>
        <w:t xml:space="preserve">. </w:t>
      </w:r>
      <w:r w:rsidR="00591838">
        <w:rPr>
          <w:rFonts w:ascii="Arial" w:hAnsi="Arial" w:cs="Arial"/>
          <w:sz w:val="20"/>
          <w:szCs w:val="20"/>
        </w:rPr>
        <w:t xml:space="preserve">The </w:t>
      </w:r>
      <w:r w:rsidR="00725182">
        <w:rPr>
          <w:rFonts w:ascii="Arial" w:hAnsi="Arial" w:cs="Arial"/>
          <w:sz w:val="20"/>
          <w:szCs w:val="20"/>
        </w:rPr>
        <w:t xml:space="preserve">non-recurrent gain for </w:t>
      </w:r>
      <w:r w:rsidR="00CC1108">
        <w:rPr>
          <w:rFonts w:ascii="Arial" w:hAnsi="Arial" w:cs="Arial"/>
          <w:sz w:val="20"/>
          <w:szCs w:val="20"/>
        </w:rPr>
        <w:t xml:space="preserve">the £0.3m </w:t>
      </w:r>
      <w:r w:rsidR="00725182">
        <w:rPr>
          <w:rFonts w:ascii="Arial" w:hAnsi="Arial" w:cs="Arial"/>
          <w:sz w:val="20"/>
          <w:szCs w:val="20"/>
        </w:rPr>
        <w:t>additional</w:t>
      </w:r>
      <w:r w:rsidR="00876535">
        <w:rPr>
          <w:rFonts w:ascii="Arial" w:hAnsi="Arial" w:cs="Arial"/>
          <w:sz w:val="20"/>
          <w:szCs w:val="20"/>
        </w:rPr>
        <w:t xml:space="preserve"> 2018/19</w:t>
      </w:r>
      <w:r w:rsidR="00725182">
        <w:rPr>
          <w:rFonts w:ascii="Arial" w:hAnsi="Arial" w:cs="Arial"/>
          <w:sz w:val="20"/>
          <w:szCs w:val="20"/>
        </w:rPr>
        <w:t xml:space="preserve"> Incentive PSF has been removed from the underlying position. </w:t>
      </w:r>
      <w:r w:rsidRPr="00945B04">
        <w:rPr>
          <w:rFonts w:ascii="Arial" w:hAnsi="Arial" w:cs="Arial"/>
          <w:sz w:val="20"/>
          <w:szCs w:val="20"/>
        </w:rPr>
        <w:t xml:space="preserve">In future months, any </w:t>
      </w:r>
      <w:r w:rsidR="00725182">
        <w:rPr>
          <w:rFonts w:ascii="Arial" w:hAnsi="Arial" w:cs="Arial"/>
          <w:sz w:val="20"/>
          <w:szCs w:val="20"/>
        </w:rPr>
        <w:t xml:space="preserve">further </w:t>
      </w:r>
      <w:r w:rsidRPr="00945B04">
        <w:rPr>
          <w:rFonts w:ascii="Arial" w:hAnsi="Arial" w:cs="Arial"/>
          <w:sz w:val="20"/>
          <w:szCs w:val="20"/>
        </w:rPr>
        <w:t>significant non-recurrent gains or losses will also be removed from the forecast underlying position.</w:t>
      </w:r>
      <w:r>
        <w:rPr>
          <w:rFonts w:ascii="Arial" w:hAnsi="Arial" w:cs="Arial"/>
          <w:sz w:val="20"/>
          <w:szCs w:val="20"/>
        </w:rPr>
        <w:t xml:space="preserve"> </w:t>
      </w:r>
    </w:p>
    <w:p w14:paraId="1339A830" w14:textId="5D330C08" w:rsidR="00130B0B" w:rsidRDefault="00945B04" w:rsidP="00945B04">
      <w:pPr>
        <w:rPr>
          <w:rFonts w:ascii="Arial" w:hAnsi="Arial" w:cs="Arial"/>
          <w:sz w:val="20"/>
          <w:szCs w:val="20"/>
        </w:rPr>
      </w:pPr>
      <w:r w:rsidRPr="00945B04">
        <w:rPr>
          <w:rFonts w:ascii="Arial" w:hAnsi="Arial" w:cs="Arial"/>
          <w:sz w:val="20"/>
          <w:szCs w:val="20"/>
        </w:rPr>
        <w:t>Ca</w:t>
      </w:r>
      <w:r w:rsidR="00725182">
        <w:rPr>
          <w:rFonts w:ascii="Arial" w:hAnsi="Arial" w:cs="Arial"/>
          <w:sz w:val="20"/>
          <w:szCs w:val="20"/>
        </w:rPr>
        <w:t>pit</w:t>
      </w:r>
      <w:r w:rsidR="00BE724C">
        <w:rPr>
          <w:rFonts w:ascii="Arial" w:hAnsi="Arial" w:cs="Arial"/>
          <w:sz w:val="20"/>
          <w:szCs w:val="20"/>
        </w:rPr>
        <w:t>al expenditure of £</w:t>
      </w:r>
      <w:r w:rsidR="00632258">
        <w:rPr>
          <w:rFonts w:ascii="Arial" w:hAnsi="Arial" w:cs="Arial"/>
          <w:sz w:val="20"/>
          <w:szCs w:val="20"/>
        </w:rPr>
        <w:t>9</w:t>
      </w:r>
      <w:r w:rsidR="00BE724C">
        <w:rPr>
          <w:rFonts w:ascii="Arial" w:hAnsi="Arial" w:cs="Arial"/>
          <w:sz w:val="20"/>
          <w:szCs w:val="20"/>
        </w:rPr>
        <w:t>.</w:t>
      </w:r>
      <w:r w:rsidR="00632258">
        <w:rPr>
          <w:rFonts w:ascii="Arial" w:hAnsi="Arial" w:cs="Arial"/>
          <w:sz w:val="20"/>
          <w:szCs w:val="20"/>
        </w:rPr>
        <w:t>0</w:t>
      </w:r>
      <w:r w:rsidRPr="00945B04">
        <w:rPr>
          <w:rFonts w:ascii="Arial" w:hAnsi="Arial" w:cs="Arial"/>
          <w:sz w:val="20"/>
          <w:szCs w:val="20"/>
        </w:rPr>
        <w:t>m</w:t>
      </w:r>
      <w:r w:rsidR="00AD5EA9">
        <w:rPr>
          <w:rFonts w:ascii="Arial" w:hAnsi="Arial" w:cs="Arial"/>
          <w:sz w:val="20"/>
          <w:szCs w:val="20"/>
        </w:rPr>
        <w:t xml:space="preserve"> </w:t>
      </w:r>
      <w:r w:rsidR="00776FF6">
        <w:rPr>
          <w:rFonts w:ascii="Arial" w:hAnsi="Arial" w:cs="Arial"/>
          <w:sz w:val="20"/>
          <w:szCs w:val="20"/>
        </w:rPr>
        <w:t xml:space="preserve">YTD </w:t>
      </w:r>
      <w:r w:rsidR="00AD5EA9">
        <w:rPr>
          <w:rFonts w:ascii="Arial" w:hAnsi="Arial" w:cs="Arial"/>
          <w:sz w:val="20"/>
          <w:szCs w:val="20"/>
        </w:rPr>
        <w:t>is</w:t>
      </w:r>
      <w:r w:rsidR="00BE724C">
        <w:rPr>
          <w:rFonts w:ascii="Arial" w:hAnsi="Arial" w:cs="Arial"/>
          <w:sz w:val="20"/>
          <w:szCs w:val="20"/>
        </w:rPr>
        <w:t xml:space="preserve"> £</w:t>
      </w:r>
      <w:r w:rsidR="00632258">
        <w:rPr>
          <w:rFonts w:ascii="Arial" w:hAnsi="Arial" w:cs="Arial"/>
          <w:sz w:val="20"/>
          <w:szCs w:val="20"/>
        </w:rPr>
        <w:t>8</w:t>
      </w:r>
      <w:r w:rsidR="00BE724C">
        <w:rPr>
          <w:rFonts w:ascii="Arial" w:hAnsi="Arial" w:cs="Arial"/>
          <w:sz w:val="20"/>
          <w:szCs w:val="20"/>
        </w:rPr>
        <w:t>.</w:t>
      </w:r>
      <w:r w:rsidR="00632258">
        <w:rPr>
          <w:rFonts w:ascii="Arial" w:hAnsi="Arial" w:cs="Arial"/>
          <w:sz w:val="20"/>
          <w:szCs w:val="20"/>
        </w:rPr>
        <w:t>6</w:t>
      </w:r>
      <w:r w:rsidR="00725182">
        <w:rPr>
          <w:rFonts w:ascii="Arial" w:hAnsi="Arial" w:cs="Arial"/>
          <w:sz w:val="20"/>
          <w:szCs w:val="20"/>
        </w:rPr>
        <w:t>m</w:t>
      </w:r>
      <w:r w:rsidRPr="00945B04">
        <w:rPr>
          <w:rFonts w:ascii="Arial" w:hAnsi="Arial" w:cs="Arial"/>
          <w:sz w:val="20"/>
          <w:szCs w:val="20"/>
        </w:rPr>
        <w:t xml:space="preserve"> below plan, principally because</w:t>
      </w:r>
      <w:r w:rsidR="0033247F">
        <w:rPr>
          <w:rFonts w:ascii="Arial" w:hAnsi="Arial" w:cs="Arial"/>
          <w:sz w:val="20"/>
          <w:szCs w:val="20"/>
        </w:rPr>
        <w:t xml:space="preserve"> of Imaging Centre</w:t>
      </w:r>
      <w:r w:rsidR="00725182">
        <w:rPr>
          <w:rFonts w:ascii="Arial" w:hAnsi="Arial" w:cs="Arial"/>
          <w:sz w:val="20"/>
          <w:szCs w:val="20"/>
        </w:rPr>
        <w:t xml:space="preserve"> slippage</w:t>
      </w:r>
      <w:r w:rsidRPr="00945B04">
        <w:rPr>
          <w:rFonts w:ascii="Arial" w:hAnsi="Arial" w:cs="Arial"/>
          <w:sz w:val="20"/>
          <w:szCs w:val="20"/>
        </w:rPr>
        <w:t xml:space="preserve"> </w:t>
      </w:r>
      <w:r w:rsidR="00725182">
        <w:rPr>
          <w:rFonts w:ascii="Arial" w:hAnsi="Arial" w:cs="Arial"/>
          <w:sz w:val="20"/>
          <w:szCs w:val="20"/>
        </w:rPr>
        <w:t xml:space="preserve">and </w:t>
      </w:r>
      <w:r w:rsidRPr="00945B04">
        <w:rPr>
          <w:rFonts w:ascii="Arial" w:hAnsi="Arial" w:cs="Arial"/>
          <w:sz w:val="20"/>
          <w:szCs w:val="20"/>
        </w:rPr>
        <w:t>KHP Consortium expenditure being charged to revenue .</w:t>
      </w:r>
      <w:r w:rsidR="007B4C47">
        <w:rPr>
          <w:rFonts w:ascii="Arial" w:hAnsi="Arial" w:cs="Arial"/>
          <w:sz w:val="20"/>
          <w:szCs w:val="20"/>
        </w:rPr>
        <w:t xml:space="preserve"> The capital forecast</w:t>
      </w:r>
      <w:r w:rsidR="00BE724C">
        <w:rPr>
          <w:rFonts w:ascii="Arial" w:hAnsi="Arial" w:cs="Arial"/>
          <w:sz w:val="20"/>
          <w:szCs w:val="20"/>
        </w:rPr>
        <w:t xml:space="preserve"> </w:t>
      </w:r>
      <w:r w:rsidR="00632258">
        <w:rPr>
          <w:rFonts w:ascii="Arial" w:hAnsi="Arial" w:cs="Arial"/>
          <w:sz w:val="20"/>
          <w:szCs w:val="20"/>
        </w:rPr>
        <w:t>is</w:t>
      </w:r>
      <w:r w:rsidR="00BE724C">
        <w:rPr>
          <w:rFonts w:ascii="Arial" w:hAnsi="Arial" w:cs="Arial"/>
          <w:sz w:val="20"/>
          <w:szCs w:val="20"/>
        </w:rPr>
        <w:t xml:space="preserve"> £21.2</w:t>
      </w:r>
      <w:r w:rsidR="00725182">
        <w:rPr>
          <w:rFonts w:ascii="Arial" w:hAnsi="Arial" w:cs="Arial"/>
          <w:sz w:val="20"/>
          <w:szCs w:val="20"/>
        </w:rPr>
        <w:t>m for 2019/20</w:t>
      </w:r>
      <w:r w:rsidR="00AA55C1">
        <w:rPr>
          <w:rFonts w:ascii="Arial" w:hAnsi="Arial" w:cs="Arial"/>
          <w:sz w:val="20"/>
          <w:szCs w:val="20"/>
        </w:rPr>
        <w:t xml:space="preserve">, </w:t>
      </w:r>
      <w:r w:rsidR="00BE724C">
        <w:rPr>
          <w:rFonts w:ascii="Arial" w:hAnsi="Arial" w:cs="Arial"/>
          <w:sz w:val="20"/>
          <w:szCs w:val="20"/>
        </w:rPr>
        <w:t>£11.8</w:t>
      </w:r>
      <w:r w:rsidR="00CD5CA4">
        <w:rPr>
          <w:rFonts w:ascii="Arial" w:hAnsi="Arial" w:cs="Arial"/>
          <w:sz w:val="20"/>
          <w:szCs w:val="20"/>
        </w:rPr>
        <w:t>m lower t</w:t>
      </w:r>
      <w:r w:rsidR="0033247F">
        <w:rPr>
          <w:rFonts w:ascii="Arial" w:hAnsi="Arial" w:cs="Arial"/>
          <w:sz w:val="20"/>
          <w:szCs w:val="20"/>
        </w:rPr>
        <w:t>han the original plan, due to</w:t>
      </w:r>
      <w:r w:rsidR="00CD5CA4">
        <w:rPr>
          <w:rFonts w:ascii="Arial" w:hAnsi="Arial" w:cs="Arial"/>
          <w:sz w:val="20"/>
          <w:szCs w:val="20"/>
        </w:rPr>
        <w:t xml:space="preserve"> slippage on the Imaging Centre and KHP Consortium.</w:t>
      </w:r>
      <w:r w:rsidR="00725182">
        <w:rPr>
          <w:rFonts w:ascii="Arial" w:hAnsi="Arial" w:cs="Arial"/>
          <w:sz w:val="20"/>
          <w:szCs w:val="20"/>
        </w:rPr>
        <w:t xml:space="preserve"> The indicative capital plan</w:t>
      </w:r>
      <w:r w:rsidR="00130B0B">
        <w:rPr>
          <w:rFonts w:ascii="Arial" w:hAnsi="Arial" w:cs="Arial"/>
          <w:sz w:val="20"/>
          <w:szCs w:val="20"/>
        </w:rPr>
        <w:t>s</w:t>
      </w:r>
      <w:r w:rsidR="00725182">
        <w:rPr>
          <w:rFonts w:ascii="Arial" w:hAnsi="Arial" w:cs="Arial"/>
          <w:sz w:val="20"/>
          <w:szCs w:val="20"/>
        </w:rPr>
        <w:t xml:space="preserve"> for 2020/21 </w:t>
      </w:r>
      <w:r w:rsidR="00130B0B">
        <w:rPr>
          <w:rFonts w:ascii="Arial" w:hAnsi="Arial" w:cs="Arial"/>
          <w:sz w:val="20"/>
          <w:szCs w:val="20"/>
        </w:rPr>
        <w:t>and 2021/22 have</w:t>
      </w:r>
      <w:r w:rsidR="00725182">
        <w:rPr>
          <w:rFonts w:ascii="Arial" w:hAnsi="Arial" w:cs="Arial"/>
          <w:sz w:val="20"/>
          <w:szCs w:val="20"/>
        </w:rPr>
        <w:t xml:space="preserve"> been </w:t>
      </w:r>
      <w:r w:rsidR="00130B0B">
        <w:rPr>
          <w:rFonts w:ascii="Arial" w:hAnsi="Arial" w:cs="Arial"/>
          <w:sz w:val="20"/>
          <w:szCs w:val="20"/>
        </w:rPr>
        <w:t>correspondingly increased by £8</w:t>
      </w:r>
      <w:r w:rsidR="00CD5CA4">
        <w:rPr>
          <w:rFonts w:ascii="Arial" w:hAnsi="Arial" w:cs="Arial"/>
          <w:sz w:val="20"/>
          <w:szCs w:val="20"/>
        </w:rPr>
        <w:t>.3</w:t>
      </w:r>
      <w:r w:rsidR="00725182">
        <w:rPr>
          <w:rFonts w:ascii="Arial" w:hAnsi="Arial" w:cs="Arial"/>
          <w:sz w:val="20"/>
          <w:szCs w:val="20"/>
        </w:rPr>
        <w:t>m</w:t>
      </w:r>
      <w:r w:rsidR="00130B0B">
        <w:rPr>
          <w:rFonts w:ascii="Arial" w:hAnsi="Arial" w:cs="Arial"/>
          <w:sz w:val="20"/>
          <w:szCs w:val="20"/>
        </w:rPr>
        <w:t xml:space="preserve"> and £3.5m respectively</w:t>
      </w:r>
      <w:r w:rsidR="00725182">
        <w:rPr>
          <w:rFonts w:ascii="Arial" w:hAnsi="Arial" w:cs="Arial"/>
          <w:sz w:val="20"/>
          <w:szCs w:val="20"/>
        </w:rPr>
        <w:t xml:space="preserve">, confirming </w:t>
      </w:r>
      <w:r w:rsidR="00CD5CA4">
        <w:rPr>
          <w:rFonts w:ascii="Arial" w:hAnsi="Arial" w:cs="Arial"/>
          <w:sz w:val="20"/>
          <w:szCs w:val="20"/>
        </w:rPr>
        <w:t>the adjustment as slippage.</w:t>
      </w:r>
    </w:p>
    <w:p w14:paraId="55823869" w14:textId="34EBA604" w:rsidR="00F71916" w:rsidRDefault="009128F9" w:rsidP="00683DF7">
      <w:pPr>
        <w:jc w:val="both"/>
        <w:rPr>
          <w:rFonts w:ascii="Arial" w:hAnsi="Arial" w:cs="Arial"/>
          <w:sz w:val="20"/>
          <w:szCs w:val="20"/>
        </w:rPr>
      </w:pPr>
      <w:r>
        <w:rPr>
          <w:rFonts w:ascii="Arial" w:hAnsi="Arial" w:cs="Arial"/>
          <w:sz w:val="20"/>
          <w:szCs w:val="20"/>
        </w:rPr>
        <w:t>Please note, all Divisional Summaries are before the impact of the block agreement with NHSE, which is reflected centrally,</w:t>
      </w:r>
    </w:p>
    <w:p w14:paraId="022197EF" w14:textId="63300A73" w:rsidR="005C3CDD" w:rsidRDefault="005C3CDD" w:rsidP="00D77C7D">
      <w:pPr>
        <w:jc w:val="both"/>
        <w:rPr>
          <w:rFonts w:ascii="Arial" w:hAnsi="Arial" w:cs="Arial"/>
          <w:sz w:val="20"/>
          <w:szCs w:val="20"/>
        </w:rPr>
      </w:pPr>
    </w:p>
    <w:p w14:paraId="450DCE05" w14:textId="77777777" w:rsidR="009F5F39" w:rsidRDefault="009F5F39" w:rsidP="00D77C7D">
      <w:pPr>
        <w:jc w:val="both"/>
        <w:rPr>
          <w:rFonts w:ascii="Arial" w:hAnsi="Arial" w:cs="Arial"/>
          <w:sz w:val="20"/>
          <w:szCs w:val="20"/>
        </w:rPr>
      </w:pPr>
    </w:p>
    <w:p w14:paraId="5DCE6E5C" w14:textId="77777777" w:rsidR="005C3CDD" w:rsidRDefault="005C3CDD" w:rsidP="00D77C7D">
      <w:pPr>
        <w:jc w:val="both"/>
        <w:rPr>
          <w:rFonts w:ascii="Arial" w:hAnsi="Arial" w:cs="Arial"/>
          <w:sz w:val="20"/>
          <w:szCs w:val="20"/>
        </w:rPr>
      </w:pPr>
    </w:p>
    <w:p w14:paraId="2B1E1FB5" w14:textId="77777777" w:rsidR="00301E86" w:rsidRDefault="00301E86">
      <w:pPr>
        <w:spacing w:after="0" w:line="240" w:lineRule="auto"/>
        <w:rPr>
          <w:rFonts w:ascii="Arial" w:hAnsi="Arial" w:cs="Arial"/>
          <w:b/>
          <w:sz w:val="24"/>
          <w:szCs w:val="24"/>
        </w:rPr>
      </w:pPr>
      <w:r>
        <w:rPr>
          <w:rFonts w:ascii="Arial" w:hAnsi="Arial" w:cs="Arial"/>
          <w:b/>
          <w:sz w:val="24"/>
          <w:szCs w:val="24"/>
        </w:rPr>
        <w:br w:type="page"/>
      </w:r>
    </w:p>
    <w:p w14:paraId="77970C3D" w14:textId="158BB151" w:rsidR="00D77C7D" w:rsidRDefault="00D77C7D" w:rsidP="00D77C7D">
      <w:pPr>
        <w:pStyle w:val="ListParagraph"/>
        <w:numPr>
          <w:ilvl w:val="0"/>
          <w:numId w:val="17"/>
        </w:numPr>
        <w:spacing w:before="240"/>
        <w:jc w:val="both"/>
        <w:rPr>
          <w:rFonts w:ascii="Arial" w:hAnsi="Arial" w:cs="Arial"/>
          <w:b/>
          <w:sz w:val="24"/>
          <w:szCs w:val="24"/>
        </w:rPr>
      </w:pPr>
      <w:r w:rsidRPr="00D77C7D">
        <w:rPr>
          <w:rFonts w:ascii="Arial" w:hAnsi="Arial" w:cs="Arial"/>
          <w:b/>
          <w:sz w:val="24"/>
          <w:szCs w:val="24"/>
        </w:rPr>
        <w:lastRenderedPageBreak/>
        <w:t>TRUST INCOME AND EXPENDITURE</w:t>
      </w:r>
    </w:p>
    <w:p w14:paraId="78BD8348" w14:textId="6FF665A7" w:rsidR="00D77C7D" w:rsidRPr="00D77C7D" w:rsidRDefault="00B11A95" w:rsidP="008D69CB">
      <w:pPr>
        <w:rPr>
          <w:rFonts w:ascii="Arial" w:hAnsi="Arial" w:cs="Arial"/>
          <w:sz w:val="20"/>
          <w:szCs w:val="20"/>
        </w:rPr>
      </w:pPr>
      <w:r w:rsidRPr="0087371F">
        <w:rPr>
          <w:rFonts w:ascii="Arial" w:hAnsi="Arial" w:cs="Arial"/>
          <w:sz w:val="20"/>
          <w:szCs w:val="20"/>
        </w:rPr>
        <w:t>The table below shows the Trust-</w:t>
      </w:r>
      <w:r w:rsidR="00D77C7D" w:rsidRPr="0087371F">
        <w:rPr>
          <w:rFonts w:ascii="Arial" w:hAnsi="Arial" w:cs="Arial"/>
          <w:sz w:val="20"/>
          <w:szCs w:val="20"/>
        </w:rPr>
        <w:t xml:space="preserve">wide income and expenditure </w:t>
      </w:r>
      <w:r w:rsidR="00BF67CA" w:rsidRPr="0087371F">
        <w:rPr>
          <w:rFonts w:ascii="Arial" w:hAnsi="Arial" w:cs="Arial"/>
          <w:sz w:val="20"/>
          <w:szCs w:val="20"/>
        </w:rPr>
        <w:t>to</w:t>
      </w:r>
      <w:r w:rsidR="00D77C7D" w:rsidRPr="0087371F">
        <w:rPr>
          <w:rFonts w:ascii="Arial" w:hAnsi="Arial" w:cs="Arial"/>
          <w:sz w:val="20"/>
          <w:szCs w:val="20"/>
        </w:rPr>
        <w:t xml:space="preserve"> </w:t>
      </w:r>
      <w:r w:rsidR="00095BF9">
        <w:rPr>
          <w:rFonts w:ascii="Arial" w:hAnsi="Arial" w:cs="Arial"/>
          <w:sz w:val="20"/>
          <w:szCs w:val="20"/>
        </w:rPr>
        <w:t>month 6</w:t>
      </w:r>
      <w:r w:rsidR="00D77C7D" w:rsidRPr="0087371F">
        <w:rPr>
          <w:rFonts w:ascii="Arial" w:hAnsi="Arial" w:cs="Arial"/>
          <w:sz w:val="20"/>
          <w:szCs w:val="20"/>
        </w:rPr>
        <w:t xml:space="preserve">, compared to both the Board approved budget and </w:t>
      </w:r>
      <w:r w:rsidR="00073CC2" w:rsidRPr="0087371F">
        <w:rPr>
          <w:rFonts w:ascii="Arial" w:hAnsi="Arial" w:cs="Arial"/>
          <w:sz w:val="20"/>
          <w:szCs w:val="20"/>
        </w:rPr>
        <w:t>the same period in</w:t>
      </w:r>
      <w:r w:rsidR="00D77C7D" w:rsidRPr="0087371F">
        <w:rPr>
          <w:rFonts w:ascii="Arial" w:hAnsi="Arial" w:cs="Arial"/>
          <w:sz w:val="20"/>
          <w:szCs w:val="20"/>
        </w:rPr>
        <w:t xml:space="preserve"> 201</w:t>
      </w:r>
      <w:r w:rsidR="009D1F2E">
        <w:rPr>
          <w:rFonts w:ascii="Arial" w:hAnsi="Arial" w:cs="Arial"/>
          <w:sz w:val="20"/>
          <w:szCs w:val="20"/>
        </w:rPr>
        <w:t>8</w:t>
      </w:r>
      <w:r w:rsidR="00BF67CA" w:rsidRPr="0087371F">
        <w:rPr>
          <w:rFonts w:ascii="Arial" w:hAnsi="Arial" w:cs="Arial"/>
          <w:sz w:val="20"/>
          <w:szCs w:val="20"/>
        </w:rPr>
        <w:t>/1</w:t>
      </w:r>
      <w:r w:rsidR="009D1F2E">
        <w:rPr>
          <w:rFonts w:ascii="Arial" w:hAnsi="Arial" w:cs="Arial"/>
          <w:sz w:val="20"/>
          <w:szCs w:val="20"/>
        </w:rPr>
        <w:t>9</w:t>
      </w:r>
      <w:r w:rsidR="00D77C7D" w:rsidRPr="0087371F">
        <w:rPr>
          <w:rFonts w:ascii="Arial" w:hAnsi="Arial" w:cs="Arial"/>
          <w:sz w:val="20"/>
          <w:szCs w:val="20"/>
        </w:rPr>
        <w:t>.</w:t>
      </w:r>
    </w:p>
    <w:p w14:paraId="71F9D7DA" w14:textId="3D5FCD93" w:rsidR="009C6A29" w:rsidRDefault="009C6A29" w:rsidP="008D69CB">
      <w:pPr>
        <w:rPr>
          <w:rFonts w:ascii="Arial" w:hAnsi="Arial" w:cs="Arial"/>
          <w:sz w:val="20"/>
          <w:szCs w:val="20"/>
        </w:rPr>
      </w:pPr>
      <w:r w:rsidRPr="009C6A29">
        <w:rPr>
          <w:noProof/>
        </w:rPr>
        <w:drawing>
          <wp:inline distT="0" distB="0" distL="0" distR="0" wp14:anchorId="1C93995A" wp14:editId="6F08DC23">
            <wp:extent cx="5943600" cy="485711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4857115"/>
                    </a:xfrm>
                    <a:prstGeom prst="rect">
                      <a:avLst/>
                    </a:prstGeom>
                    <a:noFill/>
                    <a:ln>
                      <a:noFill/>
                    </a:ln>
                  </pic:spPr>
                </pic:pic>
              </a:graphicData>
            </a:graphic>
          </wp:inline>
        </w:drawing>
      </w:r>
    </w:p>
    <w:p w14:paraId="6D85E071" w14:textId="5E1D33AC" w:rsidR="00D77C7D" w:rsidRPr="006F4B4E" w:rsidRDefault="00D77C7D" w:rsidP="008D69CB">
      <w:pPr>
        <w:rPr>
          <w:rFonts w:ascii="Arial" w:hAnsi="Arial" w:cs="Arial"/>
          <w:sz w:val="20"/>
          <w:szCs w:val="20"/>
        </w:rPr>
      </w:pPr>
      <w:r w:rsidRPr="005F3F07">
        <w:rPr>
          <w:rFonts w:ascii="Arial" w:hAnsi="Arial" w:cs="Arial"/>
          <w:sz w:val="20"/>
          <w:szCs w:val="20"/>
        </w:rPr>
        <w:t xml:space="preserve">The headlines driving the </w:t>
      </w:r>
      <w:r w:rsidR="00095BF9">
        <w:rPr>
          <w:rFonts w:ascii="Arial" w:hAnsi="Arial" w:cs="Arial"/>
          <w:sz w:val="20"/>
          <w:szCs w:val="20"/>
        </w:rPr>
        <w:t>in-month M6</w:t>
      </w:r>
      <w:r w:rsidRPr="005F3F07">
        <w:rPr>
          <w:rFonts w:ascii="Arial" w:hAnsi="Arial" w:cs="Arial"/>
          <w:sz w:val="20"/>
          <w:szCs w:val="20"/>
        </w:rPr>
        <w:t xml:space="preserve"> position against plan are as follows.</w:t>
      </w:r>
    </w:p>
    <w:p w14:paraId="440050FA" w14:textId="77777777" w:rsidR="00D77C7D" w:rsidRPr="00082578" w:rsidRDefault="00D77C7D" w:rsidP="00D77C7D">
      <w:pPr>
        <w:spacing w:after="0"/>
        <w:jc w:val="both"/>
        <w:rPr>
          <w:rFonts w:ascii="Arial" w:hAnsi="Arial" w:cs="Arial"/>
          <w:bCs/>
          <w:sz w:val="20"/>
          <w:szCs w:val="20"/>
        </w:rPr>
      </w:pPr>
      <w:r w:rsidRPr="00082578">
        <w:rPr>
          <w:rFonts w:ascii="Arial" w:hAnsi="Arial" w:cs="Arial"/>
          <w:b/>
          <w:bCs/>
          <w:sz w:val="20"/>
          <w:szCs w:val="20"/>
        </w:rPr>
        <w:t>NHS clinical income</w:t>
      </w:r>
      <w:r w:rsidRPr="00082578">
        <w:rPr>
          <w:rFonts w:ascii="Arial" w:hAnsi="Arial" w:cs="Arial"/>
          <w:bCs/>
          <w:sz w:val="20"/>
          <w:szCs w:val="20"/>
        </w:rPr>
        <w:t>:</w:t>
      </w:r>
    </w:p>
    <w:p w14:paraId="700E608C" w14:textId="499B5B9A" w:rsidR="001004D1" w:rsidRDefault="00EF3F9A" w:rsidP="004F5BDD">
      <w:pPr>
        <w:numPr>
          <w:ilvl w:val="0"/>
          <w:numId w:val="12"/>
        </w:numPr>
        <w:spacing w:after="0" w:line="240" w:lineRule="auto"/>
        <w:rPr>
          <w:rFonts w:ascii="Arial" w:hAnsi="Arial" w:cs="Arial"/>
          <w:sz w:val="20"/>
          <w:szCs w:val="20"/>
        </w:rPr>
      </w:pPr>
      <w:bookmarkStart w:id="2" w:name="_Hlk13821843"/>
      <w:r>
        <w:rPr>
          <w:rFonts w:ascii="Arial" w:hAnsi="Arial" w:cs="Arial"/>
          <w:sz w:val="20"/>
          <w:szCs w:val="20"/>
        </w:rPr>
        <w:t xml:space="preserve">NHS clinical income is </w:t>
      </w:r>
      <w:r w:rsidR="00632258">
        <w:rPr>
          <w:rFonts w:ascii="Arial" w:hAnsi="Arial" w:cs="Arial"/>
          <w:sz w:val="20"/>
          <w:szCs w:val="20"/>
        </w:rPr>
        <w:t>£0.3m</w:t>
      </w:r>
      <w:r w:rsidR="009D1F2E">
        <w:rPr>
          <w:rFonts w:ascii="Arial" w:hAnsi="Arial" w:cs="Arial"/>
          <w:sz w:val="20"/>
          <w:szCs w:val="20"/>
        </w:rPr>
        <w:t xml:space="preserve"> </w:t>
      </w:r>
      <w:r w:rsidR="00632258">
        <w:rPr>
          <w:rFonts w:ascii="Arial" w:hAnsi="Arial" w:cs="Arial"/>
          <w:sz w:val="20"/>
          <w:szCs w:val="20"/>
        </w:rPr>
        <w:t>ahead of</w:t>
      </w:r>
      <w:r w:rsidR="00073CC2" w:rsidRPr="00082578">
        <w:rPr>
          <w:rFonts w:ascii="Arial" w:hAnsi="Arial" w:cs="Arial"/>
          <w:sz w:val="20"/>
          <w:szCs w:val="20"/>
        </w:rPr>
        <w:t xml:space="preserve"> </w:t>
      </w:r>
      <w:r w:rsidR="00D77C7D" w:rsidRPr="00082578">
        <w:rPr>
          <w:rFonts w:ascii="Arial" w:hAnsi="Arial" w:cs="Arial"/>
          <w:sz w:val="20"/>
          <w:szCs w:val="20"/>
        </w:rPr>
        <w:t>plan</w:t>
      </w:r>
      <w:r w:rsidR="00AD3351">
        <w:rPr>
          <w:rFonts w:ascii="Arial" w:hAnsi="Arial" w:cs="Arial"/>
          <w:sz w:val="20"/>
          <w:szCs w:val="20"/>
        </w:rPr>
        <w:t xml:space="preserve"> in-month</w:t>
      </w:r>
      <w:r w:rsidR="006F4B4E" w:rsidRPr="00082578">
        <w:rPr>
          <w:rFonts w:ascii="Arial" w:hAnsi="Arial" w:cs="Arial"/>
          <w:sz w:val="20"/>
          <w:szCs w:val="20"/>
        </w:rPr>
        <w:t>,</w:t>
      </w:r>
      <w:r w:rsidR="009F01F7">
        <w:rPr>
          <w:rFonts w:ascii="Arial" w:hAnsi="Arial" w:cs="Arial"/>
          <w:sz w:val="20"/>
          <w:szCs w:val="20"/>
        </w:rPr>
        <w:t xml:space="preserve"> </w:t>
      </w:r>
      <w:r w:rsidR="0001356E">
        <w:rPr>
          <w:rFonts w:ascii="Arial" w:hAnsi="Arial" w:cs="Arial"/>
          <w:sz w:val="20"/>
          <w:szCs w:val="20"/>
        </w:rPr>
        <w:t>£</w:t>
      </w:r>
      <w:r w:rsidR="00632258">
        <w:rPr>
          <w:rFonts w:ascii="Arial" w:hAnsi="Arial" w:cs="Arial"/>
          <w:sz w:val="20"/>
          <w:szCs w:val="20"/>
        </w:rPr>
        <w:t>2</w:t>
      </w:r>
      <w:r w:rsidR="009D1F2E">
        <w:rPr>
          <w:rFonts w:ascii="Arial" w:hAnsi="Arial" w:cs="Arial"/>
          <w:sz w:val="20"/>
          <w:szCs w:val="20"/>
        </w:rPr>
        <w:t>.</w:t>
      </w:r>
      <w:r w:rsidR="00632258">
        <w:rPr>
          <w:rFonts w:ascii="Arial" w:hAnsi="Arial" w:cs="Arial"/>
          <w:sz w:val="20"/>
          <w:szCs w:val="20"/>
        </w:rPr>
        <w:t>2</w:t>
      </w:r>
      <w:r w:rsidR="00CD5CA4">
        <w:rPr>
          <w:rFonts w:ascii="Arial" w:hAnsi="Arial" w:cs="Arial"/>
          <w:sz w:val="20"/>
          <w:szCs w:val="20"/>
        </w:rPr>
        <w:t>m ahead of</w:t>
      </w:r>
      <w:r w:rsidR="004F5BDD">
        <w:rPr>
          <w:rFonts w:ascii="Arial" w:hAnsi="Arial" w:cs="Arial"/>
          <w:sz w:val="20"/>
          <w:szCs w:val="20"/>
        </w:rPr>
        <w:t xml:space="preserve"> plan </w:t>
      </w:r>
      <w:r w:rsidR="00CD5CA4">
        <w:rPr>
          <w:rFonts w:ascii="Arial" w:hAnsi="Arial" w:cs="Arial"/>
          <w:sz w:val="20"/>
          <w:szCs w:val="20"/>
        </w:rPr>
        <w:t xml:space="preserve">YTD </w:t>
      </w:r>
      <w:r w:rsidR="004F5BDD">
        <w:rPr>
          <w:rFonts w:ascii="Arial" w:hAnsi="Arial" w:cs="Arial"/>
          <w:sz w:val="20"/>
          <w:szCs w:val="20"/>
        </w:rPr>
        <w:t>after adjustment</w:t>
      </w:r>
      <w:r w:rsidR="009D1F2E">
        <w:rPr>
          <w:rFonts w:ascii="Arial" w:hAnsi="Arial" w:cs="Arial"/>
          <w:sz w:val="20"/>
          <w:szCs w:val="20"/>
        </w:rPr>
        <w:t xml:space="preserve"> for th</w:t>
      </w:r>
      <w:r w:rsidR="00AD3351">
        <w:rPr>
          <w:rFonts w:ascii="Arial" w:hAnsi="Arial" w:cs="Arial"/>
          <w:sz w:val="20"/>
          <w:szCs w:val="20"/>
        </w:rPr>
        <w:t xml:space="preserve">e </w:t>
      </w:r>
      <w:r w:rsidR="0001356E">
        <w:rPr>
          <w:rFonts w:ascii="Arial" w:hAnsi="Arial" w:cs="Arial"/>
          <w:sz w:val="20"/>
          <w:szCs w:val="20"/>
        </w:rPr>
        <w:t xml:space="preserve">block contract with NHSE. </w:t>
      </w:r>
      <w:r w:rsidR="00632258">
        <w:rPr>
          <w:rFonts w:ascii="Arial" w:hAnsi="Arial" w:cs="Arial"/>
          <w:sz w:val="20"/>
          <w:szCs w:val="20"/>
        </w:rPr>
        <w:t xml:space="preserve">Without adjustment for the block, NHS clinical income would have been £1.25m </w:t>
      </w:r>
      <w:r w:rsidR="0097188A">
        <w:rPr>
          <w:rFonts w:ascii="Arial" w:hAnsi="Arial" w:cs="Arial"/>
          <w:sz w:val="20"/>
          <w:szCs w:val="20"/>
        </w:rPr>
        <w:t xml:space="preserve">ahead of plan in-month, £3.0m YTD. Spells for NHSE increased by 217 in-month, 16.5%, compared to the average Quarters 1&amp;2; there was also increased transplant activity, 7 lung transplants against a previous average of 3, and ECMO bed-days, an increase of 54 bed-days, 40%. </w:t>
      </w:r>
      <w:r w:rsidR="006A7DB0">
        <w:rPr>
          <w:rFonts w:ascii="Arial" w:hAnsi="Arial" w:cs="Arial"/>
          <w:sz w:val="20"/>
          <w:szCs w:val="20"/>
        </w:rPr>
        <w:t xml:space="preserve"> </w:t>
      </w:r>
    </w:p>
    <w:bookmarkEnd w:id="2"/>
    <w:p w14:paraId="352C748B" w14:textId="54CD25D5" w:rsidR="00AF7E25" w:rsidRPr="00A970A9" w:rsidRDefault="0097188A" w:rsidP="00AF7E25">
      <w:pPr>
        <w:numPr>
          <w:ilvl w:val="0"/>
          <w:numId w:val="12"/>
        </w:numPr>
        <w:spacing w:after="0" w:line="240" w:lineRule="auto"/>
        <w:jc w:val="both"/>
        <w:rPr>
          <w:rFonts w:ascii="Arial" w:hAnsi="Arial" w:cs="Arial"/>
          <w:sz w:val="20"/>
          <w:szCs w:val="20"/>
        </w:rPr>
      </w:pPr>
      <w:r>
        <w:rPr>
          <w:rFonts w:ascii="Arial" w:hAnsi="Arial" w:cs="Arial"/>
          <w:sz w:val="20"/>
          <w:szCs w:val="20"/>
        </w:rPr>
        <w:t>NHS Inpatient s</w:t>
      </w:r>
      <w:r w:rsidR="00AF7E25" w:rsidRPr="00A970A9">
        <w:rPr>
          <w:rFonts w:ascii="Arial" w:hAnsi="Arial" w:cs="Arial"/>
          <w:sz w:val="20"/>
          <w:szCs w:val="20"/>
        </w:rPr>
        <w:t xml:space="preserve">pell activity was </w:t>
      </w:r>
      <w:r>
        <w:rPr>
          <w:rFonts w:ascii="Arial" w:hAnsi="Arial" w:cs="Arial"/>
          <w:sz w:val="20"/>
          <w:szCs w:val="20"/>
        </w:rPr>
        <w:t>244</w:t>
      </w:r>
      <w:r w:rsidR="0001356E">
        <w:rPr>
          <w:rFonts w:ascii="Arial" w:hAnsi="Arial" w:cs="Arial"/>
          <w:sz w:val="20"/>
          <w:szCs w:val="20"/>
        </w:rPr>
        <w:t xml:space="preserve"> </w:t>
      </w:r>
      <w:r>
        <w:rPr>
          <w:rFonts w:ascii="Arial" w:hAnsi="Arial" w:cs="Arial"/>
          <w:sz w:val="20"/>
          <w:szCs w:val="20"/>
        </w:rPr>
        <w:t>ahead of</w:t>
      </w:r>
      <w:r w:rsidR="00AF7E25" w:rsidRPr="00A970A9">
        <w:rPr>
          <w:rFonts w:ascii="Arial" w:hAnsi="Arial" w:cs="Arial"/>
          <w:sz w:val="20"/>
          <w:szCs w:val="20"/>
        </w:rPr>
        <w:t xml:space="preserve"> plan at </w:t>
      </w:r>
      <w:r w:rsidR="0001356E">
        <w:rPr>
          <w:rFonts w:ascii="Arial" w:hAnsi="Arial" w:cs="Arial"/>
          <w:sz w:val="20"/>
          <w:szCs w:val="20"/>
        </w:rPr>
        <w:t>3,</w:t>
      </w:r>
      <w:r w:rsidR="00013B65">
        <w:rPr>
          <w:rFonts w:ascii="Arial" w:hAnsi="Arial" w:cs="Arial"/>
          <w:sz w:val="20"/>
          <w:szCs w:val="20"/>
        </w:rPr>
        <w:t>804</w:t>
      </w:r>
      <w:r w:rsidR="00AF7E25" w:rsidRPr="00A970A9">
        <w:rPr>
          <w:rFonts w:ascii="Arial" w:hAnsi="Arial" w:cs="Arial"/>
          <w:sz w:val="20"/>
          <w:szCs w:val="20"/>
        </w:rPr>
        <w:t xml:space="preserve"> spells, </w:t>
      </w:r>
      <w:r w:rsidR="00013B65">
        <w:rPr>
          <w:rFonts w:ascii="Arial" w:hAnsi="Arial" w:cs="Arial"/>
          <w:sz w:val="20"/>
          <w:szCs w:val="20"/>
        </w:rPr>
        <w:t>178</w:t>
      </w:r>
      <w:r w:rsidR="0001356E">
        <w:rPr>
          <w:rFonts w:ascii="Arial" w:hAnsi="Arial" w:cs="Arial"/>
          <w:sz w:val="20"/>
          <w:szCs w:val="20"/>
        </w:rPr>
        <w:t xml:space="preserve"> spells higher than in </w:t>
      </w:r>
      <w:r w:rsidR="00013B65">
        <w:rPr>
          <w:rFonts w:ascii="Arial" w:hAnsi="Arial" w:cs="Arial"/>
          <w:sz w:val="20"/>
          <w:szCs w:val="20"/>
        </w:rPr>
        <w:t>Octo</w:t>
      </w:r>
      <w:r w:rsidR="0001356E">
        <w:rPr>
          <w:rFonts w:ascii="Arial" w:hAnsi="Arial" w:cs="Arial"/>
          <w:sz w:val="20"/>
          <w:szCs w:val="20"/>
        </w:rPr>
        <w:t>ber</w:t>
      </w:r>
      <w:r w:rsidR="00F80667" w:rsidRPr="00A970A9">
        <w:rPr>
          <w:rFonts w:ascii="Arial" w:hAnsi="Arial" w:cs="Arial"/>
          <w:sz w:val="20"/>
          <w:szCs w:val="20"/>
        </w:rPr>
        <w:t xml:space="preserve"> 2018</w:t>
      </w:r>
      <w:r w:rsidR="0001356E">
        <w:rPr>
          <w:rFonts w:ascii="Arial" w:hAnsi="Arial" w:cs="Arial"/>
          <w:sz w:val="20"/>
          <w:szCs w:val="20"/>
        </w:rPr>
        <w:t xml:space="preserve">, with </w:t>
      </w:r>
      <w:r w:rsidR="00013B65">
        <w:rPr>
          <w:rFonts w:ascii="Arial" w:hAnsi="Arial" w:cs="Arial"/>
          <w:sz w:val="20"/>
          <w:szCs w:val="20"/>
        </w:rPr>
        <w:t>the same number of</w:t>
      </w:r>
      <w:r w:rsidR="00AD3351">
        <w:rPr>
          <w:rFonts w:ascii="Arial" w:hAnsi="Arial" w:cs="Arial"/>
          <w:sz w:val="20"/>
          <w:szCs w:val="20"/>
        </w:rPr>
        <w:t xml:space="preserve"> working day</w:t>
      </w:r>
      <w:r w:rsidR="00013B65">
        <w:rPr>
          <w:rFonts w:ascii="Arial" w:hAnsi="Arial" w:cs="Arial"/>
          <w:sz w:val="20"/>
          <w:szCs w:val="20"/>
        </w:rPr>
        <w:t>s</w:t>
      </w:r>
      <w:r w:rsidR="00AF7E25" w:rsidRPr="00A970A9">
        <w:rPr>
          <w:rFonts w:ascii="Arial" w:hAnsi="Arial" w:cs="Arial"/>
          <w:sz w:val="20"/>
          <w:szCs w:val="20"/>
        </w:rPr>
        <w:t>.</w:t>
      </w:r>
      <w:r w:rsidR="0001356E">
        <w:rPr>
          <w:rFonts w:ascii="Arial" w:hAnsi="Arial" w:cs="Arial"/>
          <w:sz w:val="20"/>
          <w:szCs w:val="20"/>
        </w:rPr>
        <w:t xml:space="preserve"> YTD spells are </w:t>
      </w:r>
      <w:r w:rsidR="00013B65">
        <w:rPr>
          <w:rFonts w:ascii="Arial" w:hAnsi="Arial" w:cs="Arial"/>
          <w:sz w:val="20"/>
          <w:szCs w:val="20"/>
        </w:rPr>
        <w:t>565</w:t>
      </w:r>
      <w:r w:rsidR="00A970A9" w:rsidRPr="00A970A9">
        <w:rPr>
          <w:rFonts w:ascii="Arial" w:hAnsi="Arial" w:cs="Arial"/>
          <w:sz w:val="20"/>
          <w:szCs w:val="20"/>
        </w:rPr>
        <w:t xml:space="preserve"> above</w:t>
      </w:r>
      <w:r w:rsidR="00F05C54">
        <w:rPr>
          <w:rFonts w:ascii="Arial" w:hAnsi="Arial" w:cs="Arial"/>
          <w:sz w:val="20"/>
          <w:szCs w:val="20"/>
        </w:rPr>
        <w:t xml:space="preserve"> pla</w:t>
      </w:r>
      <w:r w:rsidR="0001356E">
        <w:rPr>
          <w:rFonts w:ascii="Arial" w:hAnsi="Arial" w:cs="Arial"/>
          <w:sz w:val="20"/>
          <w:szCs w:val="20"/>
        </w:rPr>
        <w:t xml:space="preserve">n, and </w:t>
      </w:r>
      <w:r w:rsidR="00013B65">
        <w:rPr>
          <w:rFonts w:ascii="Arial" w:hAnsi="Arial" w:cs="Arial"/>
          <w:sz w:val="20"/>
          <w:szCs w:val="20"/>
        </w:rPr>
        <w:t>612</w:t>
      </w:r>
      <w:r w:rsidR="00A970A9" w:rsidRPr="00A970A9">
        <w:rPr>
          <w:rFonts w:ascii="Arial" w:hAnsi="Arial" w:cs="Arial"/>
          <w:sz w:val="20"/>
          <w:szCs w:val="20"/>
        </w:rPr>
        <w:t xml:space="preserve"> spells higher than 2018/19,</w:t>
      </w:r>
      <w:r w:rsidR="007B4C47">
        <w:rPr>
          <w:rFonts w:ascii="Arial" w:hAnsi="Arial" w:cs="Arial"/>
          <w:sz w:val="20"/>
          <w:szCs w:val="20"/>
        </w:rPr>
        <w:t xml:space="preserve"> with one additional</w:t>
      </w:r>
      <w:r w:rsidR="00AD3351">
        <w:rPr>
          <w:rFonts w:ascii="Arial" w:hAnsi="Arial" w:cs="Arial"/>
          <w:sz w:val="20"/>
          <w:szCs w:val="20"/>
        </w:rPr>
        <w:t xml:space="preserve"> working day</w:t>
      </w:r>
      <w:r w:rsidR="00CC2E0F">
        <w:rPr>
          <w:rFonts w:ascii="Arial" w:hAnsi="Arial" w:cs="Arial"/>
          <w:sz w:val="20"/>
          <w:szCs w:val="20"/>
        </w:rPr>
        <w:t>.</w:t>
      </w:r>
    </w:p>
    <w:p w14:paraId="691C2D90" w14:textId="06390EEE" w:rsidR="00F9744F" w:rsidRPr="00A3260B" w:rsidRDefault="00082578" w:rsidP="00A3260B">
      <w:pPr>
        <w:numPr>
          <w:ilvl w:val="0"/>
          <w:numId w:val="12"/>
        </w:numPr>
        <w:spacing w:after="0" w:line="240" w:lineRule="auto"/>
        <w:rPr>
          <w:rFonts w:ascii="Arial" w:hAnsi="Arial" w:cs="Arial"/>
          <w:sz w:val="20"/>
          <w:szCs w:val="20"/>
        </w:rPr>
      </w:pPr>
      <w:r w:rsidRPr="005F7493">
        <w:rPr>
          <w:rFonts w:ascii="Arial" w:hAnsi="Arial" w:cs="Arial"/>
          <w:sz w:val="20"/>
          <w:szCs w:val="20"/>
        </w:rPr>
        <w:t>Within the reported position for</w:t>
      </w:r>
      <w:r w:rsidR="006F4B4E" w:rsidRPr="005F7493">
        <w:rPr>
          <w:rFonts w:ascii="Arial" w:hAnsi="Arial" w:cs="Arial"/>
          <w:sz w:val="20"/>
          <w:szCs w:val="20"/>
        </w:rPr>
        <w:t xml:space="preserve"> each month is an </w:t>
      </w:r>
      <w:r w:rsidR="00166635">
        <w:rPr>
          <w:rFonts w:ascii="Arial" w:hAnsi="Arial" w:cs="Arial"/>
          <w:sz w:val="20"/>
          <w:szCs w:val="20"/>
        </w:rPr>
        <w:t xml:space="preserve">income </w:t>
      </w:r>
      <w:r w:rsidR="006F4B4E" w:rsidRPr="005F7493">
        <w:rPr>
          <w:rFonts w:ascii="Arial" w:hAnsi="Arial" w:cs="Arial"/>
          <w:sz w:val="20"/>
          <w:szCs w:val="20"/>
        </w:rPr>
        <w:t xml:space="preserve">accrual for </w:t>
      </w:r>
      <w:r w:rsidR="00166635">
        <w:rPr>
          <w:rFonts w:ascii="Arial" w:hAnsi="Arial" w:cs="Arial"/>
          <w:sz w:val="20"/>
          <w:szCs w:val="20"/>
        </w:rPr>
        <w:t xml:space="preserve">as yet </w:t>
      </w:r>
      <w:r w:rsidR="006F4B4E" w:rsidRPr="005F7493">
        <w:rPr>
          <w:rFonts w:ascii="Arial" w:hAnsi="Arial" w:cs="Arial"/>
          <w:sz w:val="20"/>
          <w:szCs w:val="20"/>
        </w:rPr>
        <w:t xml:space="preserve">uncoded activity based on </w:t>
      </w:r>
      <w:r w:rsidRPr="005F7493">
        <w:rPr>
          <w:rFonts w:ascii="Arial" w:hAnsi="Arial" w:cs="Arial"/>
          <w:sz w:val="20"/>
          <w:szCs w:val="20"/>
        </w:rPr>
        <w:t xml:space="preserve">an </w:t>
      </w:r>
      <w:r w:rsidR="006F4B4E" w:rsidRPr="005F7493">
        <w:rPr>
          <w:rFonts w:ascii="Arial" w:hAnsi="Arial" w:cs="Arial"/>
          <w:sz w:val="20"/>
          <w:szCs w:val="20"/>
        </w:rPr>
        <w:t xml:space="preserve">average income per spell </w:t>
      </w:r>
      <w:r w:rsidR="005C4D97">
        <w:rPr>
          <w:rFonts w:ascii="Arial" w:hAnsi="Arial" w:cs="Arial"/>
          <w:sz w:val="20"/>
          <w:szCs w:val="20"/>
        </w:rPr>
        <w:t xml:space="preserve">by POD </w:t>
      </w:r>
      <w:r w:rsidR="006F4B4E" w:rsidRPr="005F7493">
        <w:rPr>
          <w:rFonts w:ascii="Arial" w:hAnsi="Arial" w:cs="Arial"/>
          <w:sz w:val="20"/>
          <w:szCs w:val="20"/>
        </w:rPr>
        <w:t xml:space="preserve">by specialty. </w:t>
      </w:r>
      <w:r w:rsidRPr="005F7493">
        <w:rPr>
          <w:rFonts w:ascii="Arial" w:hAnsi="Arial" w:cs="Arial"/>
          <w:sz w:val="20"/>
          <w:szCs w:val="20"/>
        </w:rPr>
        <w:t>Within t</w:t>
      </w:r>
      <w:r w:rsidR="00F80667">
        <w:rPr>
          <w:rFonts w:ascii="Arial" w:hAnsi="Arial" w:cs="Arial"/>
          <w:sz w:val="20"/>
          <w:szCs w:val="20"/>
        </w:rPr>
        <w:t>h</w:t>
      </w:r>
      <w:r w:rsidR="004F5BDD">
        <w:rPr>
          <w:rFonts w:ascii="Arial" w:hAnsi="Arial" w:cs="Arial"/>
          <w:sz w:val="20"/>
          <w:szCs w:val="20"/>
        </w:rPr>
        <w:t xml:space="preserve">e reported position for </w:t>
      </w:r>
      <w:r w:rsidR="008651B2">
        <w:rPr>
          <w:rFonts w:ascii="Arial" w:hAnsi="Arial" w:cs="Arial"/>
          <w:sz w:val="20"/>
          <w:szCs w:val="20"/>
        </w:rPr>
        <w:t xml:space="preserve">month </w:t>
      </w:r>
      <w:r w:rsidR="00013B65">
        <w:rPr>
          <w:rFonts w:ascii="Arial" w:hAnsi="Arial" w:cs="Arial"/>
          <w:sz w:val="20"/>
          <w:szCs w:val="20"/>
        </w:rPr>
        <w:t>7</w:t>
      </w:r>
      <w:r w:rsidR="00CD4D83">
        <w:rPr>
          <w:rFonts w:ascii="Arial" w:hAnsi="Arial" w:cs="Arial"/>
          <w:sz w:val="20"/>
          <w:szCs w:val="20"/>
        </w:rPr>
        <w:t xml:space="preserve"> </w:t>
      </w:r>
      <w:r w:rsidR="008651B2">
        <w:rPr>
          <w:rFonts w:ascii="Arial" w:hAnsi="Arial" w:cs="Arial"/>
          <w:sz w:val="20"/>
          <w:szCs w:val="20"/>
        </w:rPr>
        <w:t>is an accrual of £3.</w:t>
      </w:r>
      <w:r w:rsidR="00013B65">
        <w:rPr>
          <w:rFonts w:ascii="Arial" w:hAnsi="Arial" w:cs="Arial"/>
          <w:sz w:val="20"/>
          <w:szCs w:val="20"/>
        </w:rPr>
        <w:t>7</w:t>
      </w:r>
      <w:r w:rsidR="008651B2">
        <w:rPr>
          <w:rFonts w:ascii="Arial" w:hAnsi="Arial" w:cs="Arial"/>
          <w:sz w:val="20"/>
          <w:szCs w:val="20"/>
        </w:rPr>
        <w:t>m for 1,</w:t>
      </w:r>
      <w:r w:rsidR="00013B65">
        <w:rPr>
          <w:rFonts w:ascii="Arial" w:hAnsi="Arial" w:cs="Arial"/>
          <w:sz w:val="20"/>
          <w:szCs w:val="20"/>
        </w:rPr>
        <w:t>219</w:t>
      </w:r>
      <w:r w:rsidRPr="005F7493">
        <w:rPr>
          <w:rFonts w:ascii="Arial" w:hAnsi="Arial" w:cs="Arial"/>
          <w:sz w:val="20"/>
          <w:szCs w:val="20"/>
        </w:rPr>
        <w:t xml:space="preserve"> uncoded spells</w:t>
      </w:r>
      <w:r w:rsidR="008651B2">
        <w:rPr>
          <w:rFonts w:ascii="Arial" w:hAnsi="Arial" w:cs="Arial"/>
          <w:sz w:val="20"/>
          <w:szCs w:val="20"/>
        </w:rPr>
        <w:t xml:space="preserve">, </w:t>
      </w:r>
      <w:r w:rsidR="00C949AC">
        <w:rPr>
          <w:rFonts w:ascii="Arial" w:hAnsi="Arial" w:cs="Arial"/>
          <w:sz w:val="20"/>
          <w:szCs w:val="20"/>
        </w:rPr>
        <w:t>a</w:t>
      </w:r>
      <w:r w:rsidR="00013B65">
        <w:rPr>
          <w:rFonts w:ascii="Arial" w:hAnsi="Arial" w:cs="Arial"/>
          <w:sz w:val="20"/>
          <w:szCs w:val="20"/>
        </w:rPr>
        <w:t>n increase of £350k</w:t>
      </w:r>
      <w:r w:rsidR="008651B2">
        <w:rPr>
          <w:rFonts w:ascii="Arial" w:hAnsi="Arial" w:cs="Arial"/>
          <w:sz w:val="20"/>
          <w:szCs w:val="20"/>
        </w:rPr>
        <w:t xml:space="preserve"> </w:t>
      </w:r>
      <w:r w:rsidR="00013B65">
        <w:rPr>
          <w:rFonts w:ascii="Arial" w:hAnsi="Arial" w:cs="Arial"/>
          <w:sz w:val="20"/>
          <w:szCs w:val="20"/>
        </w:rPr>
        <w:t>compared to September</w:t>
      </w:r>
      <w:r w:rsidR="008651B2">
        <w:rPr>
          <w:rFonts w:ascii="Arial" w:hAnsi="Arial" w:cs="Arial"/>
          <w:sz w:val="20"/>
          <w:szCs w:val="20"/>
        </w:rPr>
        <w:t xml:space="preserve">, but </w:t>
      </w:r>
      <w:r w:rsidR="00C949AC">
        <w:rPr>
          <w:rFonts w:ascii="Arial" w:hAnsi="Arial" w:cs="Arial"/>
          <w:sz w:val="20"/>
          <w:szCs w:val="20"/>
        </w:rPr>
        <w:t xml:space="preserve">with </w:t>
      </w:r>
      <w:r w:rsidR="00013B65">
        <w:rPr>
          <w:rFonts w:ascii="Arial" w:hAnsi="Arial" w:cs="Arial"/>
          <w:sz w:val="20"/>
          <w:szCs w:val="20"/>
        </w:rPr>
        <w:t>117</w:t>
      </w:r>
      <w:r w:rsidR="008651B2">
        <w:rPr>
          <w:rFonts w:ascii="Arial" w:hAnsi="Arial" w:cs="Arial"/>
          <w:sz w:val="20"/>
          <w:szCs w:val="20"/>
        </w:rPr>
        <w:t xml:space="preserve"> </w:t>
      </w:r>
      <w:r w:rsidR="00013B65">
        <w:rPr>
          <w:rFonts w:ascii="Arial" w:hAnsi="Arial" w:cs="Arial"/>
          <w:sz w:val="20"/>
          <w:szCs w:val="20"/>
        </w:rPr>
        <w:t>fewer</w:t>
      </w:r>
      <w:r w:rsidR="008651B2">
        <w:rPr>
          <w:rFonts w:ascii="Arial" w:hAnsi="Arial" w:cs="Arial"/>
          <w:sz w:val="20"/>
          <w:szCs w:val="20"/>
        </w:rPr>
        <w:t xml:space="preserve"> spells</w:t>
      </w:r>
      <w:r w:rsidR="00F05C54">
        <w:rPr>
          <w:rFonts w:ascii="Arial" w:hAnsi="Arial" w:cs="Arial"/>
          <w:sz w:val="20"/>
          <w:szCs w:val="20"/>
        </w:rPr>
        <w:t>.</w:t>
      </w:r>
      <w:r w:rsidR="00C949AC">
        <w:rPr>
          <w:rFonts w:ascii="Arial" w:hAnsi="Arial" w:cs="Arial"/>
          <w:sz w:val="20"/>
          <w:szCs w:val="20"/>
        </w:rPr>
        <w:t xml:space="preserve"> </w:t>
      </w:r>
      <w:r w:rsidRPr="005F7493">
        <w:rPr>
          <w:rFonts w:ascii="Arial" w:hAnsi="Arial" w:cs="Arial"/>
          <w:sz w:val="20"/>
          <w:szCs w:val="20"/>
        </w:rPr>
        <w:t>It should be noted</w:t>
      </w:r>
      <w:r w:rsidR="00C949AC">
        <w:rPr>
          <w:rFonts w:ascii="Arial" w:hAnsi="Arial" w:cs="Arial"/>
          <w:sz w:val="20"/>
          <w:szCs w:val="20"/>
        </w:rPr>
        <w:t xml:space="preserve"> that</w:t>
      </w:r>
      <w:r w:rsidRPr="005F7493">
        <w:rPr>
          <w:rFonts w:ascii="Arial" w:hAnsi="Arial" w:cs="Arial"/>
          <w:sz w:val="20"/>
          <w:szCs w:val="20"/>
        </w:rPr>
        <w:t xml:space="preserve"> to charge commissioners we are required to have all activity coded by the Freeze Date, typically 6 weeks after the end of the month</w:t>
      </w:r>
      <w:r w:rsidR="00A73B12">
        <w:rPr>
          <w:rFonts w:ascii="Arial" w:hAnsi="Arial" w:cs="Arial"/>
          <w:sz w:val="20"/>
          <w:szCs w:val="20"/>
        </w:rPr>
        <w:t>:</w:t>
      </w:r>
      <w:r w:rsidRPr="005F7493">
        <w:rPr>
          <w:rFonts w:ascii="Arial" w:hAnsi="Arial" w:cs="Arial"/>
          <w:sz w:val="20"/>
          <w:szCs w:val="20"/>
        </w:rPr>
        <w:t xml:space="preserve"> to date the Trust has code</w:t>
      </w:r>
      <w:r w:rsidR="00A73B12">
        <w:rPr>
          <w:rFonts w:ascii="Arial" w:hAnsi="Arial" w:cs="Arial"/>
          <w:sz w:val="20"/>
          <w:szCs w:val="20"/>
        </w:rPr>
        <w:t>d</w:t>
      </w:r>
      <w:r w:rsidRPr="005F7493">
        <w:rPr>
          <w:rFonts w:ascii="Arial" w:hAnsi="Arial" w:cs="Arial"/>
          <w:sz w:val="20"/>
          <w:szCs w:val="20"/>
        </w:rPr>
        <w:t xml:space="preserve"> all activity by this deadline.</w:t>
      </w:r>
      <w:r w:rsidR="0003115A">
        <w:rPr>
          <w:rFonts w:ascii="Arial" w:hAnsi="Arial" w:cs="Arial"/>
          <w:sz w:val="20"/>
          <w:szCs w:val="20"/>
        </w:rPr>
        <w:t xml:space="preserve"> Typically</w:t>
      </w:r>
      <w:r w:rsidR="00A73B12">
        <w:rPr>
          <w:rFonts w:ascii="Arial" w:hAnsi="Arial" w:cs="Arial"/>
          <w:sz w:val="20"/>
          <w:szCs w:val="20"/>
        </w:rPr>
        <w:t>,</w:t>
      </w:r>
      <w:r w:rsidR="0003115A">
        <w:rPr>
          <w:rFonts w:ascii="Arial" w:hAnsi="Arial" w:cs="Arial"/>
          <w:sz w:val="20"/>
          <w:szCs w:val="20"/>
        </w:rPr>
        <w:t xml:space="preserve"> there is a favourable variance between the income accrual and coded values.</w:t>
      </w:r>
    </w:p>
    <w:p w14:paraId="042423A9" w14:textId="77777777" w:rsidR="00D77C7D" w:rsidRPr="00C401D4" w:rsidRDefault="00D77C7D" w:rsidP="00D77C7D">
      <w:pPr>
        <w:spacing w:after="0" w:line="240" w:lineRule="auto"/>
        <w:ind w:left="720"/>
        <w:jc w:val="both"/>
        <w:rPr>
          <w:rFonts w:ascii="Arial" w:hAnsi="Arial" w:cs="Arial"/>
          <w:sz w:val="20"/>
          <w:szCs w:val="20"/>
        </w:rPr>
      </w:pPr>
    </w:p>
    <w:p w14:paraId="7978C1C3" w14:textId="1F957A23" w:rsidR="00D77C7D" w:rsidRPr="00C401D4" w:rsidRDefault="00D77C7D" w:rsidP="00F27E29">
      <w:pPr>
        <w:spacing w:line="240" w:lineRule="auto"/>
        <w:rPr>
          <w:rFonts w:ascii="Arial" w:hAnsi="Arial" w:cs="Arial"/>
          <w:sz w:val="20"/>
          <w:szCs w:val="20"/>
        </w:rPr>
      </w:pPr>
      <w:r w:rsidRPr="00C401D4">
        <w:rPr>
          <w:rFonts w:ascii="Arial" w:hAnsi="Arial" w:cs="Arial"/>
          <w:b/>
          <w:bCs/>
          <w:sz w:val="20"/>
          <w:szCs w:val="20"/>
        </w:rPr>
        <w:t>PP income</w:t>
      </w:r>
      <w:r w:rsidR="003A1FA1" w:rsidRPr="00C401D4">
        <w:rPr>
          <w:rFonts w:ascii="Arial" w:hAnsi="Arial" w:cs="Arial"/>
          <w:b/>
          <w:bCs/>
          <w:sz w:val="20"/>
          <w:szCs w:val="20"/>
        </w:rPr>
        <w:t>:</w:t>
      </w:r>
      <w:r w:rsidRPr="00C401D4">
        <w:rPr>
          <w:rFonts w:ascii="Arial" w:hAnsi="Arial" w:cs="Arial"/>
          <w:bCs/>
          <w:sz w:val="20"/>
          <w:szCs w:val="20"/>
        </w:rPr>
        <w:t xml:space="preserve"> </w:t>
      </w:r>
      <w:r w:rsidR="008651B2">
        <w:rPr>
          <w:rFonts w:ascii="Arial" w:hAnsi="Arial" w:cs="Arial"/>
          <w:bCs/>
          <w:sz w:val="20"/>
          <w:szCs w:val="20"/>
        </w:rPr>
        <w:t>£0.2</w:t>
      </w:r>
      <w:r w:rsidR="00F05C54">
        <w:rPr>
          <w:rFonts w:ascii="Arial" w:hAnsi="Arial" w:cs="Arial"/>
          <w:bCs/>
          <w:sz w:val="20"/>
          <w:szCs w:val="20"/>
        </w:rPr>
        <w:t>m ahead of</w:t>
      </w:r>
      <w:r w:rsidR="001004D1">
        <w:rPr>
          <w:rFonts w:ascii="Arial" w:hAnsi="Arial" w:cs="Arial"/>
          <w:bCs/>
          <w:sz w:val="20"/>
          <w:szCs w:val="20"/>
        </w:rPr>
        <w:t xml:space="preserve"> </w:t>
      </w:r>
      <w:r w:rsidR="00FE7344">
        <w:rPr>
          <w:rFonts w:ascii="Arial" w:hAnsi="Arial" w:cs="Arial"/>
          <w:sz w:val="20"/>
          <w:szCs w:val="20"/>
        </w:rPr>
        <w:t>plan in-month</w:t>
      </w:r>
      <w:r w:rsidR="00CD4D83">
        <w:rPr>
          <w:rFonts w:ascii="Arial" w:hAnsi="Arial" w:cs="Arial"/>
          <w:sz w:val="20"/>
          <w:szCs w:val="20"/>
        </w:rPr>
        <w:t xml:space="preserve">, </w:t>
      </w:r>
      <w:r w:rsidR="008651B2">
        <w:rPr>
          <w:rFonts w:ascii="Arial" w:hAnsi="Arial" w:cs="Arial"/>
          <w:sz w:val="20"/>
          <w:szCs w:val="20"/>
        </w:rPr>
        <w:t>aligned with the overall trend for this financial year, £1.</w:t>
      </w:r>
      <w:r w:rsidR="00013B65">
        <w:rPr>
          <w:rFonts w:ascii="Arial" w:hAnsi="Arial" w:cs="Arial"/>
          <w:sz w:val="20"/>
          <w:szCs w:val="20"/>
        </w:rPr>
        <w:t>4</w:t>
      </w:r>
      <w:r w:rsidR="00F05C54">
        <w:rPr>
          <w:rFonts w:ascii="Arial" w:hAnsi="Arial" w:cs="Arial"/>
          <w:sz w:val="20"/>
          <w:szCs w:val="20"/>
        </w:rPr>
        <w:t>m ahea</w:t>
      </w:r>
      <w:r w:rsidR="008651B2">
        <w:rPr>
          <w:rFonts w:ascii="Arial" w:hAnsi="Arial" w:cs="Arial"/>
          <w:sz w:val="20"/>
          <w:szCs w:val="20"/>
        </w:rPr>
        <w:t>d of plan YTD.</w:t>
      </w:r>
    </w:p>
    <w:p w14:paraId="7EB0339E" w14:textId="4F6552C9" w:rsidR="001059FB" w:rsidRDefault="00D77C7D" w:rsidP="00D77C7D">
      <w:pPr>
        <w:jc w:val="both"/>
        <w:rPr>
          <w:rFonts w:ascii="Arial" w:hAnsi="Arial" w:cs="Arial"/>
          <w:b/>
          <w:bCs/>
          <w:sz w:val="20"/>
        </w:rPr>
      </w:pPr>
      <w:r w:rsidRPr="00C401D4">
        <w:rPr>
          <w:rFonts w:ascii="Arial" w:hAnsi="Arial" w:cs="Arial"/>
          <w:b/>
          <w:bCs/>
          <w:sz w:val="20"/>
        </w:rPr>
        <w:t>Non</w:t>
      </w:r>
      <w:r w:rsidR="00BF67CA" w:rsidRPr="00C401D4">
        <w:rPr>
          <w:rFonts w:ascii="Arial" w:hAnsi="Arial" w:cs="Arial"/>
          <w:b/>
          <w:bCs/>
          <w:sz w:val="20"/>
        </w:rPr>
        <w:t>-</w:t>
      </w:r>
      <w:r w:rsidRPr="00C401D4">
        <w:rPr>
          <w:rFonts w:ascii="Arial" w:hAnsi="Arial" w:cs="Arial"/>
          <w:b/>
          <w:bCs/>
          <w:sz w:val="20"/>
        </w:rPr>
        <w:t>clinical income</w:t>
      </w:r>
      <w:r w:rsidR="003A1FA1" w:rsidRPr="00C401D4">
        <w:rPr>
          <w:rFonts w:ascii="Arial" w:hAnsi="Arial" w:cs="Arial"/>
          <w:b/>
          <w:bCs/>
          <w:sz w:val="20"/>
        </w:rPr>
        <w:t>:</w:t>
      </w:r>
      <w:r w:rsidRPr="00C401D4">
        <w:rPr>
          <w:rFonts w:ascii="Arial" w:hAnsi="Arial" w:cs="Arial"/>
          <w:bCs/>
          <w:sz w:val="20"/>
        </w:rPr>
        <w:t xml:space="preserve"> </w:t>
      </w:r>
      <w:r w:rsidR="00FE7344">
        <w:rPr>
          <w:rFonts w:ascii="Arial" w:hAnsi="Arial" w:cs="Arial"/>
          <w:bCs/>
          <w:sz w:val="20"/>
        </w:rPr>
        <w:t xml:space="preserve">This </w:t>
      </w:r>
      <w:r w:rsidR="00E476DB">
        <w:rPr>
          <w:rFonts w:ascii="Arial" w:hAnsi="Arial" w:cs="Arial"/>
          <w:bCs/>
          <w:sz w:val="20"/>
        </w:rPr>
        <w:t xml:space="preserve">was </w:t>
      </w:r>
      <w:r w:rsidR="00013B65">
        <w:rPr>
          <w:rFonts w:ascii="Arial" w:hAnsi="Arial" w:cs="Arial"/>
          <w:bCs/>
          <w:sz w:val="20"/>
        </w:rPr>
        <w:t>behind</w:t>
      </w:r>
      <w:r w:rsidR="001004D1">
        <w:rPr>
          <w:rFonts w:ascii="Arial" w:hAnsi="Arial" w:cs="Arial"/>
          <w:bCs/>
          <w:sz w:val="20"/>
        </w:rPr>
        <w:t xml:space="preserve"> </w:t>
      </w:r>
      <w:r w:rsidR="00727D4E" w:rsidRPr="00C401D4">
        <w:rPr>
          <w:rFonts w:ascii="Arial" w:hAnsi="Arial" w:cs="Arial"/>
          <w:bCs/>
          <w:sz w:val="20"/>
        </w:rPr>
        <w:t>plan</w:t>
      </w:r>
      <w:r w:rsidR="00E476DB">
        <w:rPr>
          <w:rFonts w:ascii="Arial" w:hAnsi="Arial" w:cs="Arial"/>
          <w:bCs/>
          <w:sz w:val="20"/>
        </w:rPr>
        <w:t xml:space="preserve"> </w:t>
      </w:r>
      <w:r w:rsidR="008651B2">
        <w:rPr>
          <w:rFonts w:ascii="Arial" w:hAnsi="Arial" w:cs="Arial"/>
          <w:bCs/>
          <w:sz w:val="20"/>
        </w:rPr>
        <w:t xml:space="preserve">by </w:t>
      </w:r>
      <w:r w:rsidR="00013B65">
        <w:rPr>
          <w:rFonts w:ascii="Arial" w:hAnsi="Arial" w:cs="Arial"/>
          <w:bCs/>
          <w:sz w:val="20"/>
        </w:rPr>
        <w:t>(</w:t>
      </w:r>
      <w:r w:rsidR="008651B2">
        <w:rPr>
          <w:rFonts w:ascii="Arial" w:hAnsi="Arial" w:cs="Arial"/>
          <w:bCs/>
          <w:sz w:val="20"/>
        </w:rPr>
        <w:t>£0.</w:t>
      </w:r>
      <w:r w:rsidR="00013B65">
        <w:rPr>
          <w:rFonts w:ascii="Arial" w:hAnsi="Arial" w:cs="Arial"/>
          <w:bCs/>
          <w:sz w:val="20"/>
        </w:rPr>
        <w:t>1</w:t>
      </w:r>
      <w:r w:rsidR="001004D1">
        <w:rPr>
          <w:rFonts w:ascii="Arial" w:hAnsi="Arial" w:cs="Arial"/>
          <w:bCs/>
          <w:sz w:val="20"/>
        </w:rPr>
        <w:t>m</w:t>
      </w:r>
      <w:r w:rsidR="00013B65">
        <w:rPr>
          <w:rFonts w:ascii="Arial" w:hAnsi="Arial" w:cs="Arial"/>
          <w:bCs/>
          <w:sz w:val="20"/>
        </w:rPr>
        <w:t>)</w:t>
      </w:r>
      <w:r w:rsidR="001004D1">
        <w:rPr>
          <w:rFonts w:ascii="Arial" w:hAnsi="Arial" w:cs="Arial"/>
          <w:bCs/>
          <w:sz w:val="20"/>
        </w:rPr>
        <w:t xml:space="preserve"> </w:t>
      </w:r>
      <w:r w:rsidR="00727D4E" w:rsidRPr="00C401D4">
        <w:rPr>
          <w:rFonts w:ascii="Arial" w:hAnsi="Arial" w:cs="Arial"/>
          <w:bCs/>
          <w:sz w:val="20"/>
        </w:rPr>
        <w:t>in month</w:t>
      </w:r>
      <w:r w:rsidR="008651B2">
        <w:rPr>
          <w:rFonts w:ascii="Arial" w:hAnsi="Arial" w:cs="Arial"/>
          <w:bCs/>
          <w:sz w:val="20"/>
        </w:rPr>
        <w:t>,</w:t>
      </w:r>
      <w:r w:rsidR="00837F01">
        <w:rPr>
          <w:rFonts w:ascii="Arial" w:hAnsi="Arial" w:cs="Arial"/>
          <w:bCs/>
          <w:sz w:val="20"/>
        </w:rPr>
        <w:t xml:space="preserve"> and</w:t>
      </w:r>
      <w:r w:rsidR="006A6F92">
        <w:rPr>
          <w:rFonts w:ascii="Arial" w:hAnsi="Arial" w:cs="Arial"/>
          <w:bCs/>
          <w:sz w:val="20"/>
        </w:rPr>
        <w:t xml:space="preserve"> </w:t>
      </w:r>
      <w:r w:rsidR="008651B2">
        <w:rPr>
          <w:rFonts w:ascii="Arial" w:hAnsi="Arial" w:cs="Arial"/>
          <w:bCs/>
          <w:sz w:val="20"/>
        </w:rPr>
        <w:t>£1.</w:t>
      </w:r>
      <w:r w:rsidR="00013B65">
        <w:rPr>
          <w:rFonts w:ascii="Arial" w:hAnsi="Arial" w:cs="Arial"/>
          <w:bCs/>
          <w:sz w:val="20"/>
        </w:rPr>
        <w:t>0</w:t>
      </w:r>
      <w:r w:rsidR="001C2CF4">
        <w:rPr>
          <w:rFonts w:ascii="Arial" w:hAnsi="Arial" w:cs="Arial"/>
          <w:bCs/>
          <w:sz w:val="20"/>
        </w:rPr>
        <w:t xml:space="preserve">m </w:t>
      </w:r>
      <w:r w:rsidR="00013B65">
        <w:rPr>
          <w:rFonts w:ascii="Arial" w:hAnsi="Arial" w:cs="Arial"/>
          <w:bCs/>
          <w:sz w:val="20"/>
        </w:rPr>
        <w:t xml:space="preserve">ahead of plan </w:t>
      </w:r>
      <w:r w:rsidR="006A6F92">
        <w:rPr>
          <w:rFonts w:ascii="Arial" w:hAnsi="Arial" w:cs="Arial"/>
          <w:bCs/>
          <w:sz w:val="20"/>
        </w:rPr>
        <w:t>YTD.</w:t>
      </w:r>
      <w:r w:rsidR="00095FD7">
        <w:rPr>
          <w:rFonts w:ascii="Arial" w:hAnsi="Arial" w:cs="Arial"/>
          <w:bCs/>
          <w:sz w:val="20"/>
        </w:rPr>
        <w:t xml:space="preserve"> </w:t>
      </w:r>
      <w:r w:rsidR="00C401D4">
        <w:rPr>
          <w:rFonts w:ascii="Arial" w:hAnsi="Arial" w:cs="Arial"/>
          <w:bCs/>
          <w:sz w:val="20"/>
        </w:rPr>
        <w:t xml:space="preserve"> </w:t>
      </w:r>
    </w:p>
    <w:p w14:paraId="447DC66E" w14:textId="16DBA9D5" w:rsidR="00D77C7D" w:rsidRPr="00A431E7" w:rsidRDefault="00D77C7D" w:rsidP="00A431E7">
      <w:pPr>
        <w:jc w:val="both"/>
        <w:rPr>
          <w:rFonts w:ascii="Arial" w:hAnsi="Arial" w:cs="Arial"/>
          <w:bCs/>
          <w:sz w:val="20"/>
        </w:rPr>
      </w:pPr>
      <w:bookmarkStart w:id="3" w:name="_Hlk13823106"/>
      <w:r w:rsidRPr="001059FB">
        <w:rPr>
          <w:rFonts w:ascii="Arial" w:hAnsi="Arial" w:cs="Arial"/>
          <w:b/>
          <w:bCs/>
          <w:sz w:val="20"/>
        </w:rPr>
        <w:t>Pay costs</w:t>
      </w:r>
      <w:r w:rsidR="003A1FA1" w:rsidRPr="001059FB">
        <w:rPr>
          <w:rFonts w:ascii="Arial" w:hAnsi="Arial" w:cs="Arial"/>
          <w:b/>
          <w:bCs/>
          <w:sz w:val="20"/>
        </w:rPr>
        <w:t>:</w:t>
      </w:r>
      <w:r w:rsidR="003A1FA1" w:rsidRPr="001059FB">
        <w:rPr>
          <w:rFonts w:ascii="Arial" w:hAnsi="Arial" w:cs="Arial"/>
          <w:bCs/>
          <w:sz w:val="20"/>
        </w:rPr>
        <w:t xml:space="preserve"> </w:t>
      </w:r>
      <w:r w:rsidR="00013B65">
        <w:rPr>
          <w:rFonts w:ascii="Arial" w:hAnsi="Arial" w:cs="Arial"/>
          <w:bCs/>
          <w:sz w:val="20"/>
        </w:rPr>
        <w:t>(</w:t>
      </w:r>
      <w:r w:rsidR="006A7DB0">
        <w:rPr>
          <w:rFonts w:ascii="Arial" w:hAnsi="Arial" w:cs="Arial"/>
          <w:bCs/>
          <w:sz w:val="20"/>
        </w:rPr>
        <w:t>£0.</w:t>
      </w:r>
      <w:r w:rsidR="00013B65">
        <w:rPr>
          <w:rFonts w:ascii="Arial" w:hAnsi="Arial" w:cs="Arial"/>
          <w:bCs/>
          <w:sz w:val="20"/>
        </w:rPr>
        <w:t>2</w:t>
      </w:r>
      <w:r w:rsidR="00A660ED">
        <w:rPr>
          <w:rFonts w:ascii="Arial" w:hAnsi="Arial" w:cs="Arial"/>
          <w:bCs/>
          <w:sz w:val="20"/>
        </w:rPr>
        <w:t>m</w:t>
      </w:r>
      <w:r w:rsidR="00013B65">
        <w:rPr>
          <w:rFonts w:ascii="Arial" w:hAnsi="Arial" w:cs="Arial"/>
          <w:bCs/>
          <w:sz w:val="20"/>
        </w:rPr>
        <w:t>)</w:t>
      </w:r>
      <w:r w:rsidR="00A660ED">
        <w:rPr>
          <w:rFonts w:ascii="Arial" w:hAnsi="Arial" w:cs="Arial"/>
          <w:bCs/>
          <w:sz w:val="20"/>
        </w:rPr>
        <w:t xml:space="preserve"> </w:t>
      </w:r>
      <w:r w:rsidR="00013B65">
        <w:rPr>
          <w:rFonts w:ascii="Arial" w:hAnsi="Arial" w:cs="Arial"/>
          <w:bCs/>
          <w:sz w:val="20"/>
        </w:rPr>
        <w:t>adverse to</w:t>
      </w:r>
      <w:r w:rsidR="00837F01">
        <w:rPr>
          <w:rFonts w:ascii="Arial" w:hAnsi="Arial" w:cs="Arial"/>
          <w:bCs/>
          <w:sz w:val="20"/>
        </w:rPr>
        <w:t xml:space="preserve"> plan in-</w:t>
      </w:r>
      <w:r w:rsidR="001C2CF4">
        <w:rPr>
          <w:rFonts w:ascii="Arial" w:hAnsi="Arial" w:cs="Arial"/>
          <w:bCs/>
          <w:sz w:val="20"/>
        </w:rPr>
        <w:t xml:space="preserve">month, </w:t>
      </w:r>
      <w:r w:rsidR="00013B65">
        <w:rPr>
          <w:rFonts w:ascii="Arial" w:hAnsi="Arial" w:cs="Arial"/>
          <w:bCs/>
          <w:sz w:val="20"/>
        </w:rPr>
        <w:t>£2.7m better than plan YTD</w:t>
      </w:r>
      <w:r w:rsidR="00837F01">
        <w:rPr>
          <w:rFonts w:ascii="Arial" w:hAnsi="Arial" w:cs="Arial"/>
          <w:bCs/>
          <w:sz w:val="20"/>
        </w:rPr>
        <w:t>.</w:t>
      </w:r>
      <w:r w:rsidR="00BA181F">
        <w:rPr>
          <w:rFonts w:ascii="Arial" w:hAnsi="Arial" w:cs="Arial"/>
          <w:bCs/>
          <w:sz w:val="20"/>
        </w:rPr>
        <w:t xml:space="preserve"> </w:t>
      </w:r>
      <w:r w:rsidR="00013B65">
        <w:rPr>
          <w:rFonts w:ascii="Arial" w:hAnsi="Arial" w:cs="Arial"/>
          <w:bCs/>
          <w:sz w:val="20"/>
        </w:rPr>
        <w:t xml:space="preserve">Pay expenditure increase across substantive, bank, and agency staff. </w:t>
      </w:r>
      <w:r w:rsidR="00BA181F">
        <w:rPr>
          <w:rFonts w:ascii="Arial" w:hAnsi="Arial" w:cs="Arial"/>
          <w:bCs/>
          <w:sz w:val="20"/>
        </w:rPr>
        <w:t>Ag</w:t>
      </w:r>
      <w:r w:rsidR="006A7DB0">
        <w:rPr>
          <w:rFonts w:ascii="Arial" w:hAnsi="Arial" w:cs="Arial"/>
          <w:bCs/>
          <w:sz w:val="20"/>
        </w:rPr>
        <w:t>ency expenditure (£</w:t>
      </w:r>
      <w:r w:rsidR="00013B65">
        <w:rPr>
          <w:rFonts w:ascii="Arial" w:hAnsi="Arial" w:cs="Arial"/>
          <w:bCs/>
          <w:sz w:val="20"/>
        </w:rPr>
        <w:t>200</w:t>
      </w:r>
      <w:r w:rsidR="00F62AA3">
        <w:rPr>
          <w:rFonts w:ascii="Arial" w:hAnsi="Arial" w:cs="Arial"/>
          <w:bCs/>
          <w:sz w:val="20"/>
        </w:rPr>
        <w:t>k) above ceiling in-month</w:t>
      </w:r>
      <w:r w:rsidR="00BA181F">
        <w:rPr>
          <w:rFonts w:ascii="Arial" w:hAnsi="Arial" w:cs="Arial"/>
          <w:bCs/>
          <w:sz w:val="20"/>
        </w:rPr>
        <w:t>,</w:t>
      </w:r>
      <w:r w:rsidR="006A7DB0">
        <w:rPr>
          <w:rFonts w:ascii="Arial" w:hAnsi="Arial" w:cs="Arial"/>
          <w:bCs/>
          <w:sz w:val="20"/>
        </w:rPr>
        <w:t xml:space="preserve"> (£</w:t>
      </w:r>
      <w:r w:rsidR="00013B65">
        <w:rPr>
          <w:rFonts w:ascii="Arial" w:hAnsi="Arial" w:cs="Arial"/>
          <w:bCs/>
          <w:sz w:val="20"/>
        </w:rPr>
        <w:t>88</w:t>
      </w:r>
      <w:r w:rsidR="001C2CF4">
        <w:rPr>
          <w:rFonts w:ascii="Arial" w:hAnsi="Arial" w:cs="Arial"/>
          <w:bCs/>
          <w:sz w:val="20"/>
        </w:rPr>
        <w:t>0</w:t>
      </w:r>
      <w:r w:rsidR="00F62AA3">
        <w:rPr>
          <w:rFonts w:ascii="Arial" w:hAnsi="Arial" w:cs="Arial"/>
          <w:bCs/>
          <w:sz w:val="20"/>
        </w:rPr>
        <w:t xml:space="preserve">k) YTD. </w:t>
      </w:r>
      <w:r w:rsidR="00013B65">
        <w:rPr>
          <w:rFonts w:ascii="Arial" w:hAnsi="Arial" w:cs="Arial"/>
          <w:bCs/>
          <w:sz w:val="20"/>
        </w:rPr>
        <w:t>Average monthly a</w:t>
      </w:r>
      <w:r w:rsidR="00F62AA3">
        <w:rPr>
          <w:rFonts w:ascii="Arial" w:hAnsi="Arial" w:cs="Arial"/>
          <w:bCs/>
          <w:sz w:val="20"/>
        </w:rPr>
        <w:t xml:space="preserve">gency expenditure </w:t>
      </w:r>
      <w:r w:rsidR="00013B65">
        <w:rPr>
          <w:rFonts w:ascii="Arial" w:hAnsi="Arial" w:cs="Arial"/>
          <w:bCs/>
          <w:sz w:val="20"/>
        </w:rPr>
        <w:t>YTD</w:t>
      </w:r>
      <w:r w:rsidR="006A7DB0">
        <w:rPr>
          <w:rFonts w:ascii="Arial" w:hAnsi="Arial" w:cs="Arial"/>
          <w:bCs/>
          <w:sz w:val="20"/>
        </w:rPr>
        <w:t xml:space="preserve"> 2019/20 was </w:t>
      </w:r>
      <w:r w:rsidR="00013B65">
        <w:rPr>
          <w:rFonts w:ascii="Arial" w:hAnsi="Arial" w:cs="Arial"/>
          <w:bCs/>
          <w:sz w:val="20"/>
        </w:rPr>
        <w:t>£110k</w:t>
      </w:r>
      <w:r w:rsidR="006A7DB0">
        <w:rPr>
          <w:rFonts w:ascii="Arial" w:hAnsi="Arial" w:cs="Arial"/>
          <w:bCs/>
          <w:sz w:val="20"/>
        </w:rPr>
        <w:t>, 1</w:t>
      </w:r>
      <w:r w:rsidR="00B41CC5">
        <w:rPr>
          <w:rFonts w:ascii="Arial" w:hAnsi="Arial" w:cs="Arial"/>
          <w:bCs/>
          <w:sz w:val="20"/>
        </w:rPr>
        <w:t>2.</w:t>
      </w:r>
      <w:r w:rsidR="006A7DB0">
        <w:rPr>
          <w:rFonts w:ascii="Arial" w:hAnsi="Arial" w:cs="Arial"/>
          <w:bCs/>
          <w:sz w:val="20"/>
        </w:rPr>
        <w:t>3%, lower than Quarter 3&amp;4 2018/19.</w:t>
      </w:r>
    </w:p>
    <w:p w14:paraId="6583B7FE" w14:textId="5CB6E4F3" w:rsidR="00D77C7D" w:rsidRPr="006A7DB0" w:rsidRDefault="00D77C7D" w:rsidP="00F62AA3">
      <w:pPr>
        <w:jc w:val="both"/>
        <w:rPr>
          <w:rFonts w:ascii="Arial" w:hAnsi="Arial" w:cs="Arial"/>
          <w:bCs/>
          <w:sz w:val="20"/>
        </w:rPr>
      </w:pPr>
      <w:r w:rsidRPr="00DC4935">
        <w:rPr>
          <w:rFonts w:ascii="Arial" w:hAnsi="Arial" w:cs="Arial"/>
          <w:b/>
          <w:bCs/>
          <w:sz w:val="20"/>
        </w:rPr>
        <w:t>Non-pay costs</w:t>
      </w:r>
      <w:r w:rsidR="003A1FA1" w:rsidRPr="00DC4935">
        <w:rPr>
          <w:rFonts w:ascii="Arial" w:hAnsi="Arial" w:cs="Arial"/>
          <w:b/>
          <w:bCs/>
          <w:sz w:val="20"/>
        </w:rPr>
        <w:t xml:space="preserve">: </w:t>
      </w:r>
      <w:r w:rsidR="006A7DB0">
        <w:rPr>
          <w:rFonts w:ascii="Arial" w:hAnsi="Arial" w:cs="Arial"/>
          <w:bCs/>
          <w:sz w:val="20"/>
        </w:rPr>
        <w:t xml:space="preserve">Non-Pay is </w:t>
      </w:r>
      <w:r w:rsidR="00B41CC5">
        <w:rPr>
          <w:rFonts w:ascii="Arial" w:hAnsi="Arial" w:cs="Arial"/>
          <w:bCs/>
          <w:sz w:val="20"/>
        </w:rPr>
        <w:t>over</w:t>
      </w:r>
      <w:r w:rsidR="00BA181F" w:rsidRPr="00DC4935">
        <w:rPr>
          <w:rFonts w:ascii="Arial" w:hAnsi="Arial" w:cs="Arial"/>
          <w:bCs/>
          <w:sz w:val="20"/>
        </w:rPr>
        <w:t>-</w:t>
      </w:r>
      <w:r w:rsidR="00DC4935">
        <w:rPr>
          <w:rFonts w:ascii="Arial" w:hAnsi="Arial" w:cs="Arial"/>
          <w:bCs/>
          <w:sz w:val="20"/>
        </w:rPr>
        <w:t>spent</w:t>
      </w:r>
      <w:r w:rsidR="006A7DB0">
        <w:rPr>
          <w:rFonts w:ascii="Arial" w:hAnsi="Arial" w:cs="Arial"/>
          <w:bCs/>
          <w:sz w:val="20"/>
        </w:rPr>
        <w:t xml:space="preserve"> by </w:t>
      </w:r>
      <w:r w:rsidR="00B41CC5">
        <w:rPr>
          <w:rFonts w:ascii="Arial" w:hAnsi="Arial" w:cs="Arial"/>
          <w:bCs/>
          <w:sz w:val="20"/>
        </w:rPr>
        <w:t>(</w:t>
      </w:r>
      <w:r w:rsidR="006A7DB0">
        <w:rPr>
          <w:rFonts w:ascii="Arial" w:hAnsi="Arial" w:cs="Arial"/>
          <w:bCs/>
          <w:sz w:val="20"/>
        </w:rPr>
        <w:t>£</w:t>
      </w:r>
      <w:r w:rsidR="00B41CC5">
        <w:rPr>
          <w:rFonts w:ascii="Arial" w:hAnsi="Arial" w:cs="Arial"/>
          <w:bCs/>
          <w:sz w:val="20"/>
        </w:rPr>
        <w:t>1</w:t>
      </w:r>
      <w:r w:rsidR="006A7DB0">
        <w:rPr>
          <w:rFonts w:ascii="Arial" w:hAnsi="Arial" w:cs="Arial"/>
          <w:bCs/>
          <w:sz w:val="20"/>
        </w:rPr>
        <w:t>.2m</w:t>
      </w:r>
      <w:r w:rsidR="00B41CC5">
        <w:rPr>
          <w:rFonts w:ascii="Arial" w:hAnsi="Arial" w:cs="Arial"/>
          <w:bCs/>
          <w:sz w:val="20"/>
        </w:rPr>
        <w:t>)</w:t>
      </w:r>
      <w:r w:rsidR="00F62AA3" w:rsidRPr="00DC4935">
        <w:rPr>
          <w:rFonts w:ascii="Arial" w:hAnsi="Arial" w:cs="Arial"/>
          <w:bCs/>
          <w:sz w:val="20"/>
        </w:rPr>
        <w:t xml:space="preserve"> in-month</w:t>
      </w:r>
      <w:r w:rsidR="00BA181F" w:rsidRPr="00DC4935">
        <w:rPr>
          <w:rFonts w:ascii="Arial" w:hAnsi="Arial" w:cs="Arial"/>
          <w:bCs/>
          <w:sz w:val="20"/>
        </w:rPr>
        <w:t xml:space="preserve">, </w:t>
      </w:r>
      <w:r w:rsidR="00B41CC5">
        <w:rPr>
          <w:rFonts w:ascii="Arial" w:hAnsi="Arial" w:cs="Arial"/>
          <w:bCs/>
          <w:sz w:val="20"/>
        </w:rPr>
        <w:t>driven by an increased spend of (£1.0m) on</w:t>
      </w:r>
      <w:r w:rsidR="006A7DB0">
        <w:rPr>
          <w:rFonts w:ascii="Arial" w:hAnsi="Arial" w:cs="Arial"/>
          <w:bCs/>
          <w:sz w:val="20"/>
        </w:rPr>
        <w:t xml:space="preserve"> Clinical Supplies</w:t>
      </w:r>
      <w:r w:rsidR="00B41CC5">
        <w:rPr>
          <w:rFonts w:ascii="Arial" w:hAnsi="Arial" w:cs="Arial"/>
          <w:bCs/>
          <w:sz w:val="20"/>
        </w:rPr>
        <w:t xml:space="preserve"> compared to the average for Quarters 1&amp;2</w:t>
      </w:r>
      <w:r w:rsidR="00F62AA3" w:rsidRPr="00DC4935">
        <w:rPr>
          <w:rFonts w:ascii="Arial" w:hAnsi="Arial" w:cs="Arial"/>
          <w:bCs/>
          <w:sz w:val="20"/>
        </w:rPr>
        <w:t>.</w:t>
      </w:r>
      <w:r w:rsidR="00B41CC5">
        <w:rPr>
          <w:rFonts w:ascii="Arial" w:hAnsi="Arial" w:cs="Arial"/>
          <w:bCs/>
          <w:sz w:val="20"/>
        </w:rPr>
        <w:t xml:space="preserve"> This was generated by the general increase in activity, but in particular an increase for ICDs. In addition, there was (£0.2m) in-month </w:t>
      </w:r>
      <w:r w:rsidR="00BA181F" w:rsidRPr="00DC4935">
        <w:rPr>
          <w:rFonts w:ascii="Arial" w:hAnsi="Arial" w:cs="Arial"/>
          <w:bCs/>
          <w:sz w:val="20"/>
        </w:rPr>
        <w:t>KHP Consort</w:t>
      </w:r>
      <w:r w:rsidR="006A7DB0">
        <w:rPr>
          <w:rFonts w:ascii="Arial" w:hAnsi="Arial" w:cs="Arial"/>
          <w:bCs/>
          <w:sz w:val="20"/>
        </w:rPr>
        <w:t>ium expenditure</w:t>
      </w:r>
      <w:r w:rsidR="007B4C47">
        <w:rPr>
          <w:rFonts w:ascii="Arial" w:hAnsi="Arial" w:cs="Arial"/>
          <w:bCs/>
          <w:sz w:val="20"/>
        </w:rPr>
        <w:t xml:space="preserve"> accrual</w:t>
      </w:r>
      <w:r w:rsidR="0065528D">
        <w:rPr>
          <w:rFonts w:ascii="Arial" w:hAnsi="Arial" w:cs="Arial"/>
          <w:bCs/>
          <w:sz w:val="20"/>
        </w:rPr>
        <w:t>. KHP Consortium expenditure for</w:t>
      </w:r>
      <w:r w:rsidR="006A7DB0">
        <w:rPr>
          <w:rFonts w:ascii="Arial" w:hAnsi="Arial" w:cs="Arial"/>
          <w:bCs/>
          <w:sz w:val="20"/>
        </w:rPr>
        <w:t xml:space="preserve"> 2018/19</w:t>
      </w:r>
      <w:r w:rsidR="00B41CC5">
        <w:rPr>
          <w:rFonts w:ascii="Arial" w:hAnsi="Arial" w:cs="Arial"/>
          <w:bCs/>
          <w:sz w:val="20"/>
        </w:rPr>
        <w:t xml:space="preserve"> has been agreed and invoiced, whilst invoices for </w:t>
      </w:r>
      <w:r w:rsidR="006A7DB0">
        <w:rPr>
          <w:rFonts w:ascii="Arial" w:hAnsi="Arial" w:cs="Arial"/>
          <w:bCs/>
          <w:sz w:val="20"/>
        </w:rPr>
        <w:t>Quarters 1&amp;2 2019/20</w:t>
      </w:r>
      <w:r w:rsidR="00B41CC5">
        <w:rPr>
          <w:rFonts w:ascii="Arial" w:hAnsi="Arial" w:cs="Arial"/>
          <w:bCs/>
          <w:sz w:val="20"/>
        </w:rPr>
        <w:t xml:space="preserve"> are expected to be raised during November</w:t>
      </w:r>
      <w:r w:rsidR="006A7DB0">
        <w:rPr>
          <w:rFonts w:ascii="Arial" w:hAnsi="Arial" w:cs="Arial"/>
          <w:bCs/>
          <w:sz w:val="20"/>
        </w:rPr>
        <w:t>.</w:t>
      </w:r>
      <w:r w:rsidR="00BA181F" w:rsidRPr="00BA181F">
        <w:rPr>
          <w:rFonts w:ascii="Arial" w:hAnsi="Arial" w:cs="Arial"/>
          <w:bCs/>
          <w:sz w:val="20"/>
        </w:rPr>
        <w:t xml:space="preserve"> </w:t>
      </w:r>
      <w:bookmarkEnd w:id="3"/>
    </w:p>
    <w:p w14:paraId="093679CC" w14:textId="54B62067" w:rsidR="00D77C7D" w:rsidRPr="00164CAC" w:rsidRDefault="00D77C7D" w:rsidP="00D77C7D">
      <w:pPr>
        <w:spacing w:before="120" w:after="120"/>
        <w:contextualSpacing/>
        <w:jc w:val="both"/>
        <w:rPr>
          <w:rFonts w:ascii="Arial" w:hAnsi="Arial" w:cs="Arial"/>
          <w:b/>
          <w:sz w:val="20"/>
          <w:szCs w:val="20"/>
        </w:rPr>
      </w:pPr>
      <w:r w:rsidRPr="00FD57AD">
        <w:rPr>
          <w:rFonts w:ascii="Arial" w:hAnsi="Arial" w:cs="Arial"/>
          <w:b/>
          <w:sz w:val="20"/>
          <w:szCs w:val="20"/>
        </w:rPr>
        <w:t>Cost Improvement</w:t>
      </w:r>
      <w:r w:rsidR="00164CAC">
        <w:rPr>
          <w:rFonts w:ascii="Arial" w:hAnsi="Arial" w:cs="Arial"/>
          <w:b/>
          <w:sz w:val="20"/>
          <w:szCs w:val="20"/>
        </w:rPr>
        <w:t xml:space="preserve"> </w:t>
      </w:r>
      <w:r w:rsidRPr="002F3C45">
        <w:rPr>
          <w:rFonts w:ascii="Arial" w:hAnsi="Arial" w:cs="Arial"/>
          <w:b/>
          <w:sz w:val="20"/>
          <w:szCs w:val="20"/>
        </w:rPr>
        <w:t xml:space="preserve">Programme: </w:t>
      </w:r>
      <w:r w:rsidR="00BA181F">
        <w:rPr>
          <w:rFonts w:ascii="Arial" w:hAnsi="Arial" w:cs="Arial"/>
          <w:sz w:val="20"/>
          <w:szCs w:val="20"/>
        </w:rPr>
        <w:t>The entire 2019/20 £13.7</w:t>
      </w:r>
      <w:r w:rsidRPr="002F3C45">
        <w:rPr>
          <w:rFonts w:ascii="Arial" w:hAnsi="Arial" w:cs="Arial"/>
          <w:sz w:val="20"/>
          <w:szCs w:val="20"/>
        </w:rPr>
        <w:t xml:space="preserve">m </w:t>
      </w:r>
      <w:r w:rsidR="003F5E8C">
        <w:rPr>
          <w:rFonts w:ascii="Arial" w:hAnsi="Arial" w:cs="Arial"/>
          <w:sz w:val="20"/>
          <w:szCs w:val="20"/>
        </w:rPr>
        <w:t xml:space="preserve">CIP </w:t>
      </w:r>
      <w:r w:rsidR="008D69CB">
        <w:rPr>
          <w:rFonts w:ascii="Arial" w:hAnsi="Arial" w:cs="Arial"/>
          <w:sz w:val="20"/>
          <w:szCs w:val="20"/>
        </w:rPr>
        <w:t xml:space="preserve">programme is </w:t>
      </w:r>
      <w:r w:rsidR="0033247F">
        <w:rPr>
          <w:rFonts w:ascii="Arial" w:hAnsi="Arial" w:cs="Arial"/>
          <w:sz w:val="20"/>
          <w:szCs w:val="20"/>
        </w:rPr>
        <w:t>identifi</w:t>
      </w:r>
      <w:r w:rsidR="007B4C47">
        <w:rPr>
          <w:rFonts w:ascii="Arial" w:hAnsi="Arial" w:cs="Arial"/>
          <w:sz w:val="20"/>
          <w:szCs w:val="20"/>
        </w:rPr>
        <w:t>ed and on plan</w:t>
      </w:r>
      <w:r w:rsidR="00991713" w:rsidRPr="002F3C45">
        <w:rPr>
          <w:rFonts w:ascii="Arial" w:hAnsi="Arial" w:cs="Arial"/>
          <w:sz w:val="20"/>
          <w:szCs w:val="20"/>
        </w:rPr>
        <w:t>.</w:t>
      </w:r>
      <w:r w:rsidR="002026D8">
        <w:rPr>
          <w:rFonts w:ascii="Arial" w:hAnsi="Arial" w:cs="Arial"/>
          <w:sz w:val="20"/>
          <w:szCs w:val="20"/>
        </w:rPr>
        <w:t xml:space="preserve"> </w:t>
      </w:r>
      <w:r w:rsidR="00F62AA3">
        <w:rPr>
          <w:rFonts w:ascii="Arial" w:hAnsi="Arial" w:cs="Arial"/>
          <w:sz w:val="20"/>
          <w:szCs w:val="20"/>
        </w:rPr>
        <w:t>YTD of</w:t>
      </w:r>
      <w:r w:rsidR="009A0972">
        <w:rPr>
          <w:rFonts w:ascii="Arial" w:hAnsi="Arial" w:cs="Arial"/>
          <w:sz w:val="20"/>
          <w:szCs w:val="20"/>
        </w:rPr>
        <w:t xml:space="preserve"> the </w:t>
      </w:r>
      <w:r w:rsidR="00B41CC5">
        <w:rPr>
          <w:rFonts w:ascii="Arial" w:hAnsi="Arial" w:cs="Arial"/>
          <w:sz w:val="20"/>
          <w:szCs w:val="20"/>
        </w:rPr>
        <w:t>£7</w:t>
      </w:r>
      <w:r w:rsidR="009A0972">
        <w:rPr>
          <w:rFonts w:ascii="Arial" w:hAnsi="Arial" w:cs="Arial"/>
          <w:sz w:val="20"/>
          <w:szCs w:val="20"/>
        </w:rPr>
        <w:t>.</w:t>
      </w:r>
      <w:r w:rsidR="00B41CC5">
        <w:rPr>
          <w:rFonts w:ascii="Arial" w:hAnsi="Arial" w:cs="Arial"/>
          <w:sz w:val="20"/>
          <w:szCs w:val="20"/>
        </w:rPr>
        <w:t>1</w:t>
      </w:r>
      <w:r w:rsidR="009A0972">
        <w:rPr>
          <w:rFonts w:ascii="Arial" w:hAnsi="Arial" w:cs="Arial"/>
          <w:sz w:val="20"/>
          <w:szCs w:val="20"/>
        </w:rPr>
        <w:t>m planned CIPs, £</w:t>
      </w:r>
      <w:r w:rsidR="00B41CC5">
        <w:rPr>
          <w:rFonts w:ascii="Arial" w:hAnsi="Arial" w:cs="Arial"/>
          <w:sz w:val="20"/>
          <w:szCs w:val="20"/>
        </w:rPr>
        <w:t>7</w:t>
      </w:r>
      <w:r w:rsidR="009A0972">
        <w:rPr>
          <w:rFonts w:ascii="Arial" w:hAnsi="Arial" w:cs="Arial"/>
          <w:sz w:val="20"/>
          <w:szCs w:val="20"/>
        </w:rPr>
        <w:t>.2</w:t>
      </w:r>
      <w:r w:rsidR="00B41CC5">
        <w:rPr>
          <w:rFonts w:ascii="Arial" w:hAnsi="Arial" w:cs="Arial"/>
          <w:sz w:val="20"/>
          <w:szCs w:val="20"/>
        </w:rPr>
        <w:t>5</w:t>
      </w:r>
      <w:r w:rsidR="00AA55C1">
        <w:rPr>
          <w:rFonts w:ascii="Arial" w:hAnsi="Arial" w:cs="Arial"/>
          <w:sz w:val="20"/>
          <w:szCs w:val="20"/>
        </w:rPr>
        <w:t>m</w:t>
      </w:r>
      <w:r w:rsidR="00613673">
        <w:rPr>
          <w:rFonts w:ascii="Arial" w:hAnsi="Arial" w:cs="Arial"/>
          <w:sz w:val="20"/>
          <w:szCs w:val="20"/>
        </w:rPr>
        <w:t xml:space="preserve"> has been achieved, £0.</w:t>
      </w:r>
      <w:r w:rsidR="00B41CC5">
        <w:rPr>
          <w:rFonts w:ascii="Arial" w:hAnsi="Arial" w:cs="Arial"/>
          <w:sz w:val="20"/>
          <w:szCs w:val="20"/>
        </w:rPr>
        <w:t>1</w:t>
      </w:r>
      <w:r w:rsidR="009A0972">
        <w:rPr>
          <w:rFonts w:ascii="Arial" w:hAnsi="Arial" w:cs="Arial"/>
          <w:sz w:val="20"/>
          <w:szCs w:val="20"/>
        </w:rPr>
        <w:t>5</w:t>
      </w:r>
      <w:r w:rsidR="00613673">
        <w:rPr>
          <w:rFonts w:ascii="Arial" w:hAnsi="Arial" w:cs="Arial"/>
          <w:sz w:val="20"/>
          <w:szCs w:val="20"/>
        </w:rPr>
        <w:t>m</w:t>
      </w:r>
      <w:r w:rsidR="00F62AA3">
        <w:rPr>
          <w:rFonts w:ascii="Arial" w:hAnsi="Arial" w:cs="Arial"/>
          <w:sz w:val="20"/>
          <w:szCs w:val="20"/>
        </w:rPr>
        <w:t xml:space="preserve"> favourable. </w:t>
      </w:r>
      <w:r w:rsidR="009A0972">
        <w:rPr>
          <w:rFonts w:ascii="Arial" w:hAnsi="Arial" w:cs="Arial"/>
          <w:sz w:val="20"/>
          <w:szCs w:val="20"/>
        </w:rPr>
        <w:t>This exceeds the £</w:t>
      </w:r>
      <w:r w:rsidR="00B41CC5">
        <w:rPr>
          <w:rFonts w:ascii="Arial" w:hAnsi="Arial" w:cs="Arial"/>
          <w:sz w:val="20"/>
          <w:szCs w:val="20"/>
        </w:rPr>
        <w:t>6</w:t>
      </w:r>
      <w:r w:rsidR="009A0972">
        <w:rPr>
          <w:rFonts w:ascii="Arial" w:hAnsi="Arial" w:cs="Arial"/>
          <w:sz w:val="20"/>
          <w:szCs w:val="20"/>
        </w:rPr>
        <w:t>.</w:t>
      </w:r>
      <w:r w:rsidR="00B41CC5">
        <w:rPr>
          <w:rFonts w:ascii="Arial" w:hAnsi="Arial" w:cs="Arial"/>
          <w:sz w:val="20"/>
          <w:szCs w:val="20"/>
        </w:rPr>
        <w:t>8</w:t>
      </w:r>
      <w:r w:rsidR="009A0972">
        <w:rPr>
          <w:rFonts w:ascii="Arial" w:hAnsi="Arial" w:cs="Arial"/>
          <w:sz w:val="20"/>
          <w:szCs w:val="20"/>
        </w:rPr>
        <w:t>m delivered YTD to M</w:t>
      </w:r>
      <w:r w:rsidR="00B41CC5">
        <w:rPr>
          <w:rFonts w:ascii="Arial" w:hAnsi="Arial" w:cs="Arial"/>
          <w:sz w:val="20"/>
          <w:szCs w:val="20"/>
        </w:rPr>
        <w:t>7</w:t>
      </w:r>
      <w:r w:rsidR="00900339">
        <w:rPr>
          <w:rFonts w:ascii="Arial" w:hAnsi="Arial" w:cs="Arial"/>
          <w:sz w:val="20"/>
          <w:szCs w:val="20"/>
        </w:rPr>
        <w:t xml:space="preserve"> in 2018/19</w:t>
      </w:r>
    </w:p>
    <w:p w14:paraId="421D80B3" w14:textId="3274F271" w:rsidR="00A30D19" w:rsidRDefault="00A30D19" w:rsidP="00D77C7D">
      <w:pPr>
        <w:spacing w:before="120" w:after="120"/>
        <w:contextualSpacing/>
        <w:jc w:val="both"/>
        <w:rPr>
          <w:rFonts w:ascii="Arial" w:hAnsi="Arial" w:cs="Arial"/>
          <w:sz w:val="20"/>
          <w:szCs w:val="20"/>
        </w:rPr>
      </w:pPr>
    </w:p>
    <w:p w14:paraId="44695521" w14:textId="2898E47D" w:rsidR="00D77C7D" w:rsidRPr="00A3260B" w:rsidRDefault="00F944D3" w:rsidP="00D77C7D">
      <w:pPr>
        <w:spacing w:before="120" w:after="120"/>
        <w:contextualSpacing/>
        <w:jc w:val="both"/>
        <w:rPr>
          <w:rFonts w:ascii="Arial" w:hAnsi="Arial" w:cs="Arial"/>
          <w:sz w:val="20"/>
          <w:szCs w:val="20"/>
        </w:rPr>
      </w:pPr>
      <w:r w:rsidRPr="002F3C45">
        <w:rPr>
          <w:rFonts w:ascii="Arial" w:hAnsi="Arial" w:cs="Arial"/>
          <w:sz w:val="20"/>
          <w:szCs w:val="20"/>
        </w:rPr>
        <w:t>Other</w:t>
      </w:r>
      <w:r w:rsidR="00D77C7D" w:rsidRPr="002F3C45">
        <w:rPr>
          <w:rFonts w:ascii="Arial" w:hAnsi="Arial" w:cs="Arial"/>
          <w:sz w:val="20"/>
          <w:szCs w:val="20"/>
        </w:rPr>
        <w:t xml:space="preserve"> </w:t>
      </w:r>
      <w:r w:rsidR="00344C51" w:rsidRPr="002F3C45">
        <w:rPr>
          <w:rFonts w:ascii="Arial" w:hAnsi="Arial" w:cs="Arial"/>
          <w:sz w:val="20"/>
          <w:szCs w:val="20"/>
        </w:rPr>
        <w:t>headlines relating to the YTD position are</w:t>
      </w:r>
      <w:r w:rsidRPr="002F3C45">
        <w:rPr>
          <w:rFonts w:ascii="Arial" w:hAnsi="Arial" w:cs="Arial"/>
          <w:sz w:val="20"/>
          <w:szCs w:val="20"/>
        </w:rPr>
        <w:t>:</w:t>
      </w:r>
    </w:p>
    <w:p w14:paraId="1129CD53" w14:textId="607AE12F" w:rsidR="00AA55C1" w:rsidRDefault="00D77C7D" w:rsidP="000B3A4B">
      <w:pPr>
        <w:spacing w:after="0" w:line="240" w:lineRule="auto"/>
        <w:rPr>
          <w:rFonts w:ascii="Arial" w:hAnsi="Arial" w:cs="Arial"/>
          <w:sz w:val="20"/>
          <w:szCs w:val="20"/>
        </w:rPr>
      </w:pPr>
      <w:r w:rsidRPr="00FD422E">
        <w:rPr>
          <w:rFonts w:ascii="Arial" w:hAnsi="Arial" w:cs="Arial"/>
          <w:b/>
          <w:sz w:val="20"/>
          <w:szCs w:val="20"/>
        </w:rPr>
        <w:t>NHS Clinical Income:</w:t>
      </w:r>
      <w:r w:rsidRPr="00FD422E">
        <w:rPr>
          <w:rFonts w:ascii="Arial" w:hAnsi="Arial" w:cs="Arial"/>
          <w:sz w:val="20"/>
          <w:szCs w:val="20"/>
        </w:rPr>
        <w:t xml:space="preserve"> </w:t>
      </w:r>
      <w:r w:rsidR="00B3694B">
        <w:rPr>
          <w:rFonts w:ascii="Arial" w:hAnsi="Arial" w:cs="Arial"/>
          <w:sz w:val="20"/>
          <w:szCs w:val="20"/>
        </w:rPr>
        <w:t xml:space="preserve"> £</w:t>
      </w:r>
      <w:r w:rsidR="00815B69">
        <w:rPr>
          <w:rFonts w:ascii="Arial" w:hAnsi="Arial" w:cs="Arial"/>
          <w:sz w:val="20"/>
          <w:szCs w:val="20"/>
        </w:rPr>
        <w:t>2</w:t>
      </w:r>
      <w:r w:rsidR="00B3694B">
        <w:rPr>
          <w:rFonts w:ascii="Arial" w:hAnsi="Arial" w:cs="Arial"/>
          <w:sz w:val="20"/>
          <w:szCs w:val="20"/>
        </w:rPr>
        <w:t>.</w:t>
      </w:r>
      <w:r w:rsidR="00815B69">
        <w:rPr>
          <w:rFonts w:ascii="Arial" w:hAnsi="Arial" w:cs="Arial"/>
          <w:sz w:val="20"/>
          <w:szCs w:val="20"/>
        </w:rPr>
        <w:t>2</w:t>
      </w:r>
      <w:r w:rsidR="000B3A4B">
        <w:rPr>
          <w:rFonts w:ascii="Arial" w:hAnsi="Arial" w:cs="Arial"/>
          <w:sz w:val="20"/>
          <w:szCs w:val="20"/>
        </w:rPr>
        <w:t>m ahead of</w:t>
      </w:r>
      <w:r w:rsidR="000B3A4B" w:rsidRPr="00082578">
        <w:rPr>
          <w:rFonts w:ascii="Arial" w:hAnsi="Arial" w:cs="Arial"/>
          <w:sz w:val="20"/>
          <w:szCs w:val="20"/>
        </w:rPr>
        <w:t xml:space="preserve"> plan</w:t>
      </w:r>
      <w:r w:rsidR="000B3A4B">
        <w:rPr>
          <w:rFonts w:ascii="Arial" w:hAnsi="Arial" w:cs="Arial"/>
          <w:sz w:val="20"/>
          <w:szCs w:val="20"/>
        </w:rPr>
        <w:t xml:space="preserve"> YTD</w:t>
      </w:r>
      <w:r w:rsidR="000B3A4B" w:rsidRPr="00082578">
        <w:rPr>
          <w:rFonts w:ascii="Arial" w:hAnsi="Arial" w:cs="Arial"/>
          <w:sz w:val="20"/>
          <w:szCs w:val="20"/>
        </w:rPr>
        <w:t>,</w:t>
      </w:r>
      <w:r w:rsidR="000B3A4B">
        <w:rPr>
          <w:rFonts w:ascii="Arial" w:hAnsi="Arial" w:cs="Arial"/>
          <w:sz w:val="20"/>
          <w:szCs w:val="20"/>
        </w:rPr>
        <w:t xml:space="preserve"> </w:t>
      </w:r>
      <w:r w:rsidR="00B3694B">
        <w:rPr>
          <w:rFonts w:ascii="Arial" w:hAnsi="Arial" w:cs="Arial"/>
          <w:sz w:val="20"/>
          <w:szCs w:val="20"/>
        </w:rPr>
        <w:t xml:space="preserve">after </w:t>
      </w:r>
      <w:r w:rsidR="00094932">
        <w:rPr>
          <w:rFonts w:ascii="Arial" w:hAnsi="Arial" w:cs="Arial"/>
          <w:sz w:val="20"/>
          <w:szCs w:val="20"/>
        </w:rPr>
        <w:t>(</w:t>
      </w:r>
      <w:r w:rsidR="00B3694B">
        <w:rPr>
          <w:rFonts w:ascii="Arial" w:hAnsi="Arial" w:cs="Arial"/>
          <w:sz w:val="20"/>
          <w:szCs w:val="20"/>
        </w:rPr>
        <w:t>£0.</w:t>
      </w:r>
      <w:r w:rsidR="00094932">
        <w:rPr>
          <w:rFonts w:ascii="Arial" w:hAnsi="Arial" w:cs="Arial"/>
          <w:sz w:val="20"/>
          <w:szCs w:val="20"/>
        </w:rPr>
        <w:t>85</w:t>
      </w:r>
      <w:r w:rsidR="009A6DFC">
        <w:rPr>
          <w:rFonts w:ascii="Arial" w:hAnsi="Arial" w:cs="Arial"/>
          <w:sz w:val="20"/>
          <w:szCs w:val="20"/>
        </w:rPr>
        <w:t>m</w:t>
      </w:r>
      <w:r w:rsidR="00094932">
        <w:rPr>
          <w:rFonts w:ascii="Arial" w:hAnsi="Arial" w:cs="Arial"/>
          <w:sz w:val="20"/>
          <w:szCs w:val="20"/>
        </w:rPr>
        <w:t>)</w:t>
      </w:r>
      <w:r w:rsidR="009A6DFC">
        <w:rPr>
          <w:rFonts w:ascii="Arial" w:hAnsi="Arial" w:cs="Arial"/>
          <w:sz w:val="20"/>
          <w:szCs w:val="20"/>
        </w:rPr>
        <w:t xml:space="preserve"> </w:t>
      </w:r>
      <w:r w:rsidR="000B3A4B">
        <w:rPr>
          <w:rFonts w:ascii="Arial" w:hAnsi="Arial" w:cs="Arial"/>
          <w:sz w:val="20"/>
          <w:szCs w:val="20"/>
        </w:rPr>
        <w:t xml:space="preserve">adjustment for </w:t>
      </w:r>
      <w:r w:rsidR="00B3694B">
        <w:rPr>
          <w:rFonts w:ascii="Arial" w:hAnsi="Arial" w:cs="Arial"/>
          <w:sz w:val="20"/>
          <w:szCs w:val="20"/>
        </w:rPr>
        <w:t>the block contract with NHSE. £2.</w:t>
      </w:r>
      <w:r w:rsidR="00094932">
        <w:rPr>
          <w:rFonts w:ascii="Arial" w:hAnsi="Arial" w:cs="Arial"/>
          <w:sz w:val="20"/>
          <w:szCs w:val="20"/>
        </w:rPr>
        <w:t>75</w:t>
      </w:r>
      <w:r w:rsidR="000B3A4B">
        <w:rPr>
          <w:rFonts w:ascii="Arial" w:hAnsi="Arial" w:cs="Arial"/>
          <w:sz w:val="20"/>
          <w:szCs w:val="20"/>
        </w:rPr>
        <w:t xml:space="preserve">m of the over-performance is excluded drugs, charged in addition to the block with NHSE, more than explaining the over-spend on drugs expenditure. NWL CCGs are under-performing against contract. </w:t>
      </w:r>
    </w:p>
    <w:p w14:paraId="7D4F331B" w14:textId="77777777" w:rsidR="0033247F" w:rsidRDefault="0033247F" w:rsidP="000B3A4B">
      <w:pPr>
        <w:spacing w:after="0" w:line="240" w:lineRule="auto"/>
        <w:rPr>
          <w:rFonts w:ascii="Arial" w:hAnsi="Arial" w:cs="Arial"/>
          <w:sz w:val="20"/>
          <w:szCs w:val="20"/>
        </w:rPr>
      </w:pPr>
    </w:p>
    <w:p w14:paraId="5D841260" w14:textId="52955B67" w:rsidR="0033247F" w:rsidRDefault="00AA55C1" w:rsidP="000B3A4B">
      <w:pPr>
        <w:spacing w:after="0" w:line="240" w:lineRule="auto"/>
        <w:rPr>
          <w:rFonts w:ascii="Arial" w:hAnsi="Arial" w:cs="Arial"/>
          <w:sz w:val="20"/>
          <w:szCs w:val="20"/>
        </w:rPr>
      </w:pPr>
      <w:r w:rsidRPr="00AA55C1">
        <w:rPr>
          <w:rFonts w:ascii="Arial" w:hAnsi="Arial" w:cs="Arial"/>
          <w:sz w:val="20"/>
          <w:szCs w:val="20"/>
        </w:rPr>
        <w:t xml:space="preserve">Both NHS clinical income and PP income have been profiled by working days, taking into account weekends, bank holidays, and periods with higher annual leave. </w:t>
      </w:r>
    </w:p>
    <w:p w14:paraId="5BFC8020" w14:textId="5A2A79E6" w:rsidR="0033247F" w:rsidRDefault="0033247F" w:rsidP="000B3A4B">
      <w:pPr>
        <w:spacing w:after="0" w:line="240" w:lineRule="auto"/>
        <w:rPr>
          <w:rFonts w:ascii="Arial" w:hAnsi="Arial" w:cs="Arial"/>
          <w:sz w:val="20"/>
          <w:szCs w:val="20"/>
        </w:rPr>
      </w:pPr>
    </w:p>
    <w:p w14:paraId="35EE724F" w14:textId="3C04512A" w:rsidR="0077192A" w:rsidRDefault="00532330" w:rsidP="0065528D">
      <w:pPr>
        <w:spacing w:after="0" w:line="240" w:lineRule="auto"/>
        <w:rPr>
          <w:rFonts w:ascii="Arial" w:hAnsi="Arial" w:cs="Arial"/>
          <w:sz w:val="20"/>
          <w:szCs w:val="20"/>
        </w:rPr>
      </w:pPr>
      <w:r>
        <w:rPr>
          <w:rFonts w:ascii="Arial" w:hAnsi="Arial" w:cs="Arial"/>
          <w:sz w:val="20"/>
          <w:szCs w:val="20"/>
        </w:rPr>
        <w:t>Across all commissioners, Inpatient and D</w:t>
      </w:r>
      <w:r w:rsidR="000B3A4B">
        <w:rPr>
          <w:rFonts w:ascii="Arial" w:hAnsi="Arial" w:cs="Arial"/>
          <w:sz w:val="20"/>
          <w:szCs w:val="20"/>
        </w:rPr>
        <w:t>ay</w:t>
      </w:r>
      <w:r w:rsidR="00A13EE8">
        <w:rPr>
          <w:rFonts w:ascii="Arial" w:hAnsi="Arial" w:cs="Arial"/>
          <w:sz w:val="20"/>
          <w:szCs w:val="20"/>
        </w:rPr>
        <w:t xml:space="preserve"> </w:t>
      </w:r>
      <w:r w:rsidR="000B3A4B">
        <w:rPr>
          <w:rFonts w:ascii="Arial" w:hAnsi="Arial" w:cs="Arial"/>
          <w:sz w:val="20"/>
          <w:szCs w:val="20"/>
        </w:rPr>
        <w:t>case a</w:t>
      </w:r>
      <w:r>
        <w:rPr>
          <w:rFonts w:ascii="Arial" w:hAnsi="Arial" w:cs="Arial"/>
          <w:sz w:val="20"/>
          <w:szCs w:val="20"/>
        </w:rPr>
        <w:t>ctivity is over-performing</w:t>
      </w:r>
      <w:r w:rsidR="00A13EE8">
        <w:rPr>
          <w:rFonts w:ascii="Arial" w:hAnsi="Arial" w:cs="Arial"/>
          <w:sz w:val="20"/>
          <w:szCs w:val="20"/>
        </w:rPr>
        <w:t xml:space="preserve"> by</w:t>
      </w:r>
      <w:r>
        <w:rPr>
          <w:rFonts w:ascii="Arial" w:hAnsi="Arial" w:cs="Arial"/>
          <w:sz w:val="20"/>
          <w:szCs w:val="20"/>
        </w:rPr>
        <w:t xml:space="preserve"> £</w:t>
      </w:r>
      <w:r w:rsidR="0077192A">
        <w:rPr>
          <w:rFonts w:ascii="Arial" w:hAnsi="Arial" w:cs="Arial"/>
          <w:sz w:val="20"/>
          <w:szCs w:val="20"/>
        </w:rPr>
        <w:t>3</w:t>
      </w:r>
      <w:r>
        <w:rPr>
          <w:rFonts w:ascii="Arial" w:hAnsi="Arial" w:cs="Arial"/>
          <w:sz w:val="20"/>
          <w:szCs w:val="20"/>
        </w:rPr>
        <w:t>.</w:t>
      </w:r>
      <w:r w:rsidR="0077192A">
        <w:rPr>
          <w:rFonts w:ascii="Arial" w:hAnsi="Arial" w:cs="Arial"/>
          <w:sz w:val="20"/>
          <w:szCs w:val="20"/>
        </w:rPr>
        <w:t>6</w:t>
      </w:r>
      <w:r w:rsidR="000B3A4B">
        <w:rPr>
          <w:rFonts w:ascii="Arial" w:hAnsi="Arial" w:cs="Arial"/>
          <w:sz w:val="20"/>
          <w:szCs w:val="20"/>
        </w:rPr>
        <w:t>m, both elective and non-elective activity. Critical Care act</w:t>
      </w:r>
      <w:r>
        <w:rPr>
          <w:rFonts w:ascii="Arial" w:hAnsi="Arial" w:cs="Arial"/>
          <w:sz w:val="20"/>
          <w:szCs w:val="20"/>
        </w:rPr>
        <w:t>i</w:t>
      </w:r>
      <w:r w:rsidR="00F42705">
        <w:rPr>
          <w:rFonts w:ascii="Arial" w:hAnsi="Arial" w:cs="Arial"/>
          <w:sz w:val="20"/>
          <w:szCs w:val="20"/>
        </w:rPr>
        <w:t>vity is over-performing by £0.</w:t>
      </w:r>
      <w:r w:rsidR="0077192A">
        <w:rPr>
          <w:rFonts w:ascii="Arial" w:hAnsi="Arial" w:cs="Arial"/>
          <w:sz w:val="20"/>
          <w:szCs w:val="20"/>
        </w:rPr>
        <w:t>9</w:t>
      </w:r>
      <w:r w:rsidR="000B3A4B">
        <w:rPr>
          <w:rFonts w:ascii="Arial" w:hAnsi="Arial" w:cs="Arial"/>
          <w:sz w:val="20"/>
          <w:szCs w:val="20"/>
        </w:rPr>
        <w:t xml:space="preserve">m, </w:t>
      </w:r>
      <w:r w:rsidR="0077192A">
        <w:rPr>
          <w:rFonts w:ascii="Arial" w:hAnsi="Arial" w:cs="Arial"/>
          <w:sz w:val="20"/>
          <w:szCs w:val="20"/>
        </w:rPr>
        <w:t xml:space="preserve">but </w:t>
      </w:r>
      <w:r w:rsidR="00F42705">
        <w:rPr>
          <w:rFonts w:ascii="Arial" w:hAnsi="Arial" w:cs="Arial"/>
          <w:sz w:val="20"/>
          <w:szCs w:val="20"/>
        </w:rPr>
        <w:t>more than</w:t>
      </w:r>
      <w:r w:rsidR="000B3A4B">
        <w:rPr>
          <w:rFonts w:ascii="Arial" w:hAnsi="Arial" w:cs="Arial"/>
          <w:sz w:val="20"/>
          <w:szCs w:val="20"/>
        </w:rPr>
        <w:t xml:space="preserve"> o</w:t>
      </w:r>
      <w:r>
        <w:rPr>
          <w:rFonts w:ascii="Arial" w:hAnsi="Arial" w:cs="Arial"/>
          <w:sz w:val="20"/>
          <w:szCs w:val="20"/>
        </w:rPr>
        <w:t>ffset by ECMO under-performance</w:t>
      </w:r>
      <w:r w:rsidR="0077192A">
        <w:rPr>
          <w:rFonts w:ascii="Arial" w:hAnsi="Arial" w:cs="Arial"/>
          <w:sz w:val="20"/>
          <w:szCs w:val="20"/>
        </w:rPr>
        <w:t xml:space="preserve"> (£1.1m). </w:t>
      </w:r>
      <w:r w:rsidR="00AA55C1" w:rsidRPr="00AA55C1">
        <w:t xml:space="preserve"> </w:t>
      </w:r>
    </w:p>
    <w:p w14:paraId="0CAA80B8" w14:textId="77777777" w:rsidR="0065528D" w:rsidRPr="0065528D" w:rsidRDefault="0065528D" w:rsidP="0065528D">
      <w:pPr>
        <w:spacing w:after="0" w:line="240" w:lineRule="auto"/>
        <w:rPr>
          <w:rFonts w:ascii="Arial" w:hAnsi="Arial" w:cs="Arial"/>
          <w:sz w:val="20"/>
          <w:szCs w:val="20"/>
        </w:rPr>
      </w:pPr>
    </w:p>
    <w:p w14:paraId="173A7F57" w14:textId="4C86EF43" w:rsidR="00900339" w:rsidRPr="00837F01" w:rsidRDefault="00837F01" w:rsidP="00904A2E">
      <w:pPr>
        <w:rPr>
          <w:rFonts w:ascii="Arial" w:hAnsi="Arial" w:cs="Arial"/>
          <w:b/>
          <w:bCs/>
          <w:sz w:val="20"/>
        </w:rPr>
      </w:pPr>
      <w:r w:rsidRPr="00837F01">
        <w:rPr>
          <w:rFonts w:ascii="Arial" w:hAnsi="Arial" w:cs="Arial"/>
          <w:b/>
          <w:bCs/>
          <w:sz w:val="20"/>
        </w:rPr>
        <w:t xml:space="preserve">Non-pay costs: </w:t>
      </w:r>
      <w:r w:rsidRPr="00837F01">
        <w:rPr>
          <w:rFonts w:ascii="Arial" w:hAnsi="Arial" w:cs="Arial"/>
          <w:bCs/>
          <w:sz w:val="20"/>
        </w:rPr>
        <w:t>Non-Pay is over-</w:t>
      </w:r>
      <w:r w:rsidR="00CD75D8">
        <w:rPr>
          <w:rFonts w:ascii="Arial" w:hAnsi="Arial" w:cs="Arial"/>
          <w:bCs/>
          <w:sz w:val="20"/>
        </w:rPr>
        <w:t>spent by (£</w:t>
      </w:r>
      <w:r w:rsidR="0077192A">
        <w:rPr>
          <w:rFonts w:ascii="Arial" w:hAnsi="Arial" w:cs="Arial"/>
          <w:bCs/>
          <w:sz w:val="20"/>
        </w:rPr>
        <w:t>6</w:t>
      </w:r>
      <w:r w:rsidR="00CD75D8">
        <w:rPr>
          <w:rFonts w:ascii="Arial" w:hAnsi="Arial" w:cs="Arial"/>
          <w:bCs/>
          <w:sz w:val="20"/>
        </w:rPr>
        <w:t>.</w:t>
      </w:r>
      <w:r w:rsidR="0077192A">
        <w:rPr>
          <w:rFonts w:ascii="Arial" w:hAnsi="Arial" w:cs="Arial"/>
          <w:bCs/>
          <w:sz w:val="20"/>
        </w:rPr>
        <w:t>5</w:t>
      </w:r>
      <w:r w:rsidRPr="00837F01">
        <w:rPr>
          <w:rFonts w:ascii="Arial" w:hAnsi="Arial" w:cs="Arial"/>
          <w:bCs/>
          <w:sz w:val="20"/>
        </w:rPr>
        <w:t>m) YTD</w:t>
      </w:r>
      <w:r w:rsidR="00FF51D5">
        <w:rPr>
          <w:rFonts w:ascii="Arial" w:hAnsi="Arial" w:cs="Arial"/>
          <w:bCs/>
          <w:sz w:val="20"/>
        </w:rPr>
        <w:t>, (£1.</w:t>
      </w:r>
      <w:r w:rsidR="0077192A">
        <w:rPr>
          <w:rFonts w:ascii="Arial" w:hAnsi="Arial" w:cs="Arial"/>
          <w:bCs/>
          <w:sz w:val="20"/>
        </w:rPr>
        <w:t>1</w:t>
      </w:r>
      <w:r w:rsidRPr="00837F01">
        <w:rPr>
          <w:rFonts w:ascii="Arial" w:hAnsi="Arial" w:cs="Arial"/>
          <w:bCs/>
          <w:sz w:val="20"/>
        </w:rPr>
        <w:t>m) of whi</w:t>
      </w:r>
      <w:r w:rsidR="00FE635F">
        <w:rPr>
          <w:rFonts w:ascii="Arial" w:hAnsi="Arial" w:cs="Arial"/>
          <w:bCs/>
          <w:sz w:val="20"/>
        </w:rPr>
        <w:t>ch is drug expenditure and more than</w:t>
      </w:r>
      <w:r w:rsidRPr="00837F01">
        <w:rPr>
          <w:rFonts w:ascii="Arial" w:hAnsi="Arial" w:cs="Arial"/>
          <w:bCs/>
          <w:sz w:val="20"/>
        </w:rPr>
        <w:t xml:space="preserve"> offset by additional income as noted above. </w:t>
      </w:r>
      <w:r w:rsidR="00FF51D5">
        <w:rPr>
          <w:rFonts w:ascii="Arial" w:hAnsi="Arial" w:cs="Arial"/>
          <w:bCs/>
          <w:sz w:val="20"/>
        </w:rPr>
        <w:t>There is an adverse vari</w:t>
      </w:r>
      <w:r w:rsidR="00CD75D8">
        <w:rPr>
          <w:rFonts w:ascii="Arial" w:hAnsi="Arial" w:cs="Arial"/>
          <w:bCs/>
          <w:sz w:val="20"/>
        </w:rPr>
        <w:t>ance for clinical supplies (£</w:t>
      </w:r>
      <w:r w:rsidR="0077192A">
        <w:rPr>
          <w:rFonts w:ascii="Arial" w:hAnsi="Arial" w:cs="Arial"/>
          <w:bCs/>
          <w:sz w:val="20"/>
        </w:rPr>
        <w:t>2</w:t>
      </w:r>
      <w:r w:rsidR="00CD75D8">
        <w:rPr>
          <w:rFonts w:ascii="Arial" w:hAnsi="Arial" w:cs="Arial"/>
          <w:bCs/>
          <w:sz w:val="20"/>
        </w:rPr>
        <w:t>.</w:t>
      </w:r>
      <w:r w:rsidR="0077192A">
        <w:rPr>
          <w:rFonts w:ascii="Arial" w:hAnsi="Arial" w:cs="Arial"/>
          <w:bCs/>
          <w:sz w:val="20"/>
        </w:rPr>
        <w:t>5</w:t>
      </w:r>
      <w:r w:rsidR="00FF51D5">
        <w:rPr>
          <w:rFonts w:ascii="Arial" w:hAnsi="Arial" w:cs="Arial"/>
          <w:bCs/>
          <w:sz w:val="20"/>
        </w:rPr>
        <w:t xml:space="preserve">m) </w:t>
      </w:r>
      <w:r w:rsidR="00CD75D8">
        <w:rPr>
          <w:rFonts w:ascii="Arial" w:hAnsi="Arial" w:cs="Arial"/>
          <w:bCs/>
          <w:sz w:val="20"/>
        </w:rPr>
        <w:t xml:space="preserve">partly </w:t>
      </w:r>
      <w:r w:rsidR="00FF51D5">
        <w:rPr>
          <w:rFonts w:ascii="Arial" w:hAnsi="Arial" w:cs="Arial"/>
          <w:bCs/>
          <w:sz w:val="20"/>
        </w:rPr>
        <w:t>linked to incr</w:t>
      </w:r>
      <w:r w:rsidR="00CD75D8">
        <w:rPr>
          <w:rFonts w:ascii="Arial" w:hAnsi="Arial" w:cs="Arial"/>
          <w:bCs/>
          <w:sz w:val="20"/>
        </w:rPr>
        <w:t>eased patient care activity</w:t>
      </w:r>
      <w:r w:rsidR="00C949AC">
        <w:rPr>
          <w:rFonts w:ascii="Arial" w:hAnsi="Arial" w:cs="Arial"/>
          <w:bCs/>
          <w:sz w:val="20"/>
        </w:rPr>
        <w:t xml:space="preserve">. </w:t>
      </w:r>
      <w:r w:rsidR="0077192A">
        <w:rPr>
          <w:rFonts w:ascii="Arial" w:hAnsi="Arial" w:cs="Arial"/>
          <w:bCs/>
          <w:sz w:val="20"/>
        </w:rPr>
        <w:t>The Trust is working with NHS Supply Chain to</w:t>
      </w:r>
      <w:r w:rsidR="0065528D">
        <w:rPr>
          <w:rFonts w:ascii="Arial" w:hAnsi="Arial" w:cs="Arial"/>
          <w:bCs/>
          <w:sz w:val="20"/>
        </w:rPr>
        <w:t xml:space="preserve"> fully</w:t>
      </w:r>
      <w:r w:rsidR="0077192A">
        <w:rPr>
          <w:rFonts w:ascii="Arial" w:hAnsi="Arial" w:cs="Arial"/>
          <w:bCs/>
          <w:sz w:val="20"/>
        </w:rPr>
        <w:t xml:space="preserve"> understand the pressure, and in particular compare purchasing patterns against those anticipated </w:t>
      </w:r>
      <w:r w:rsidR="0065528D">
        <w:rPr>
          <w:rFonts w:ascii="Arial" w:hAnsi="Arial" w:cs="Arial"/>
          <w:bCs/>
          <w:sz w:val="20"/>
        </w:rPr>
        <w:t>in</w:t>
      </w:r>
      <w:r w:rsidR="0077192A">
        <w:rPr>
          <w:rFonts w:ascii="Arial" w:hAnsi="Arial" w:cs="Arial"/>
          <w:bCs/>
          <w:sz w:val="20"/>
        </w:rPr>
        <w:t xml:space="preserve"> the ‘super cardiology’ contract.</w:t>
      </w:r>
      <w:r w:rsidR="00FF51D5">
        <w:rPr>
          <w:rFonts w:ascii="Arial" w:hAnsi="Arial" w:cs="Arial"/>
          <w:bCs/>
          <w:sz w:val="20"/>
        </w:rPr>
        <w:t xml:space="preserve"> </w:t>
      </w:r>
      <w:r w:rsidRPr="00837F01">
        <w:rPr>
          <w:rFonts w:ascii="Arial" w:hAnsi="Arial" w:cs="Arial"/>
          <w:bCs/>
          <w:sz w:val="20"/>
        </w:rPr>
        <w:t xml:space="preserve">There is </w:t>
      </w:r>
      <w:r w:rsidR="001A688A">
        <w:rPr>
          <w:rFonts w:ascii="Arial" w:hAnsi="Arial" w:cs="Arial"/>
          <w:bCs/>
          <w:sz w:val="20"/>
        </w:rPr>
        <w:t>a further cost</w:t>
      </w:r>
      <w:r w:rsidR="00CD75D8">
        <w:rPr>
          <w:rFonts w:ascii="Arial" w:hAnsi="Arial" w:cs="Arial"/>
          <w:bCs/>
          <w:sz w:val="20"/>
        </w:rPr>
        <w:t xml:space="preserve"> pressure of (£1.</w:t>
      </w:r>
      <w:r w:rsidR="0077192A">
        <w:rPr>
          <w:rFonts w:ascii="Arial" w:hAnsi="Arial" w:cs="Arial"/>
          <w:bCs/>
          <w:sz w:val="20"/>
        </w:rPr>
        <w:t>4</w:t>
      </w:r>
      <w:r w:rsidRPr="00837F01">
        <w:rPr>
          <w:rFonts w:ascii="Arial" w:hAnsi="Arial" w:cs="Arial"/>
          <w:bCs/>
          <w:sz w:val="20"/>
        </w:rPr>
        <w:t xml:space="preserve">m) as we have </w:t>
      </w:r>
      <w:r w:rsidR="00C949AC">
        <w:rPr>
          <w:rFonts w:ascii="Arial" w:hAnsi="Arial" w:cs="Arial"/>
          <w:bCs/>
          <w:sz w:val="20"/>
        </w:rPr>
        <w:t>to date</w:t>
      </w:r>
      <w:r w:rsidR="00C949AC" w:rsidRPr="00837F01">
        <w:rPr>
          <w:rFonts w:ascii="Arial" w:hAnsi="Arial" w:cs="Arial"/>
          <w:bCs/>
          <w:sz w:val="20"/>
        </w:rPr>
        <w:t xml:space="preserve"> </w:t>
      </w:r>
      <w:r w:rsidRPr="00837F01">
        <w:rPr>
          <w:rFonts w:ascii="Arial" w:hAnsi="Arial" w:cs="Arial"/>
          <w:bCs/>
          <w:sz w:val="20"/>
        </w:rPr>
        <w:t xml:space="preserve">included KHP Consortium expenditure as a revenue expense rather than as capital </w:t>
      </w:r>
      <w:r w:rsidR="00CD75D8">
        <w:rPr>
          <w:rFonts w:ascii="Arial" w:hAnsi="Arial" w:cs="Arial"/>
          <w:bCs/>
          <w:sz w:val="20"/>
        </w:rPr>
        <w:t>as was envisaged in the budget.</w:t>
      </w:r>
      <w:r w:rsidR="00904A2E">
        <w:rPr>
          <w:rFonts w:ascii="Arial" w:hAnsi="Arial" w:cs="Arial"/>
          <w:bCs/>
          <w:sz w:val="20"/>
        </w:rPr>
        <w:br/>
      </w:r>
      <w:r w:rsidR="00900339">
        <w:rPr>
          <w:rFonts w:ascii="Arial" w:hAnsi="Arial" w:cs="Arial"/>
          <w:b/>
          <w:sz w:val="24"/>
          <w:szCs w:val="24"/>
        </w:rPr>
        <w:br w:type="page"/>
      </w:r>
    </w:p>
    <w:p w14:paraId="380EEFA6" w14:textId="56DDD4D3" w:rsidR="00FE125A" w:rsidRDefault="00FE125A" w:rsidP="00FE125A">
      <w:pPr>
        <w:pStyle w:val="ListParagraph"/>
        <w:numPr>
          <w:ilvl w:val="0"/>
          <w:numId w:val="17"/>
        </w:numPr>
        <w:spacing w:before="240"/>
        <w:jc w:val="both"/>
        <w:rPr>
          <w:rFonts w:ascii="Arial" w:hAnsi="Arial" w:cs="Arial"/>
          <w:b/>
          <w:sz w:val="24"/>
          <w:szCs w:val="24"/>
        </w:rPr>
      </w:pPr>
      <w:r w:rsidRPr="00FE125A">
        <w:rPr>
          <w:rFonts w:ascii="Arial" w:hAnsi="Arial" w:cs="Arial"/>
          <w:b/>
          <w:sz w:val="24"/>
          <w:szCs w:val="24"/>
        </w:rPr>
        <w:lastRenderedPageBreak/>
        <w:t>DIVISIONAL PERFORMANCE</w:t>
      </w:r>
    </w:p>
    <w:p w14:paraId="300C7804" w14:textId="477A45B6" w:rsidR="00FE125A" w:rsidRDefault="00FE125A" w:rsidP="00FE125A">
      <w:pPr>
        <w:spacing w:before="240"/>
        <w:jc w:val="both"/>
        <w:rPr>
          <w:rFonts w:ascii="Arial" w:hAnsi="Arial" w:cs="Arial"/>
          <w:sz w:val="20"/>
          <w:szCs w:val="20"/>
        </w:rPr>
      </w:pPr>
      <w:r w:rsidRPr="00FD422E">
        <w:rPr>
          <w:rFonts w:ascii="Arial" w:hAnsi="Arial" w:cs="Arial"/>
          <w:sz w:val="20"/>
          <w:szCs w:val="20"/>
        </w:rPr>
        <w:t xml:space="preserve">The performance for the three clinical divisions in </w:t>
      </w:r>
      <w:r w:rsidR="00BB7DC9">
        <w:rPr>
          <w:rFonts w:ascii="Arial" w:hAnsi="Arial" w:cs="Arial"/>
          <w:sz w:val="20"/>
          <w:szCs w:val="20"/>
        </w:rPr>
        <w:t>September</w:t>
      </w:r>
      <w:r w:rsidR="00A36969" w:rsidRPr="00FD422E">
        <w:rPr>
          <w:rFonts w:ascii="Arial" w:hAnsi="Arial" w:cs="Arial"/>
          <w:sz w:val="20"/>
          <w:szCs w:val="20"/>
        </w:rPr>
        <w:t xml:space="preserve"> </w:t>
      </w:r>
      <w:r w:rsidR="00903B36" w:rsidRPr="00FD422E">
        <w:rPr>
          <w:rFonts w:ascii="Arial" w:hAnsi="Arial" w:cs="Arial"/>
          <w:sz w:val="20"/>
          <w:szCs w:val="20"/>
        </w:rPr>
        <w:t>and YTD</w:t>
      </w:r>
      <w:r w:rsidRPr="00FD422E">
        <w:rPr>
          <w:rFonts w:ascii="Arial" w:hAnsi="Arial" w:cs="Arial"/>
          <w:sz w:val="20"/>
          <w:szCs w:val="20"/>
        </w:rPr>
        <w:t xml:space="preserve"> is given below.</w:t>
      </w:r>
    </w:p>
    <w:p w14:paraId="738E9DB4" w14:textId="62205911" w:rsidR="00206A7A" w:rsidRPr="0011190D" w:rsidRDefault="009C6A29" w:rsidP="0011190D">
      <w:pPr>
        <w:spacing w:before="240"/>
        <w:jc w:val="both"/>
        <w:rPr>
          <w:rFonts w:ascii="Arial" w:hAnsi="Arial" w:cs="Arial"/>
          <w:sz w:val="24"/>
          <w:szCs w:val="24"/>
        </w:rPr>
      </w:pPr>
      <w:r w:rsidRPr="009C6A29">
        <w:rPr>
          <w:noProof/>
        </w:rPr>
        <w:drawing>
          <wp:inline distT="0" distB="0" distL="0" distR="0" wp14:anchorId="43B0DB0F" wp14:editId="0AD32ADF">
            <wp:extent cx="5943600" cy="40214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4021455"/>
                    </a:xfrm>
                    <a:prstGeom prst="rect">
                      <a:avLst/>
                    </a:prstGeom>
                    <a:noFill/>
                    <a:ln>
                      <a:noFill/>
                    </a:ln>
                  </pic:spPr>
                </pic:pic>
              </a:graphicData>
            </a:graphic>
          </wp:inline>
        </w:drawing>
      </w:r>
    </w:p>
    <w:p w14:paraId="55F10EF9" w14:textId="759C156C" w:rsidR="00B076B0" w:rsidRPr="00B076B0" w:rsidRDefault="00951F43" w:rsidP="00B076B0">
      <w:pPr>
        <w:pStyle w:val="ListParagraph"/>
        <w:numPr>
          <w:ilvl w:val="1"/>
          <w:numId w:val="17"/>
        </w:numPr>
        <w:spacing w:before="240"/>
        <w:jc w:val="both"/>
        <w:rPr>
          <w:rFonts w:ascii="Arial" w:hAnsi="Arial" w:cs="Arial"/>
          <w:sz w:val="20"/>
          <w:szCs w:val="20"/>
        </w:rPr>
      </w:pPr>
      <w:r w:rsidRPr="00206A7A">
        <w:rPr>
          <w:rFonts w:ascii="Arial" w:hAnsi="Arial" w:cs="Arial"/>
          <w:b/>
          <w:sz w:val="20"/>
          <w:szCs w:val="20"/>
        </w:rPr>
        <w:t>Brompton Heart</w:t>
      </w:r>
      <w:r w:rsidRPr="00206A7A">
        <w:rPr>
          <w:rFonts w:ascii="Arial" w:hAnsi="Arial" w:cs="Arial"/>
          <w:sz w:val="20"/>
          <w:szCs w:val="20"/>
        </w:rPr>
        <w:t xml:space="preserve"> </w:t>
      </w:r>
    </w:p>
    <w:p w14:paraId="602CEF6B" w14:textId="77777777" w:rsidR="00BE2920" w:rsidRPr="00BE2920" w:rsidRDefault="00BE2920" w:rsidP="00BE2920">
      <w:pPr>
        <w:spacing w:after="0" w:line="240" w:lineRule="auto"/>
        <w:rPr>
          <w:rFonts w:ascii="Arial" w:hAnsi="Arial" w:cs="Arial"/>
          <w:sz w:val="20"/>
          <w:szCs w:val="20"/>
        </w:rPr>
      </w:pPr>
      <w:bookmarkStart w:id="4" w:name="_Hlk532809985"/>
      <w:r w:rsidRPr="00BE2920">
        <w:rPr>
          <w:rFonts w:ascii="Arial" w:hAnsi="Arial" w:cs="Arial"/>
          <w:sz w:val="20"/>
          <w:szCs w:val="20"/>
        </w:rPr>
        <w:t xml:space="preserve">NHS clinical income is £1.0m ahead of plan in-month and (£0.7m) behind plan YTD. </w:t>
      </w:r>
    </w:p>
    <w:p w14:paraId="36E9B6D6" w14:textId="77777777" w:rsidR="00BE2920" w:rsidRPr="00BE2920" w:rsidRDefault="00BE2920" w:rsidP="00BE2920">
      <w:pPr>
        <w:spacing w:after="0" w:line="240" w:lineRule="auto"/>
        <w:rPr>
          <w:rFonts w:ascii="Arial" w:hAnsi="Arial" w:cs="Arial"/>
          <w:sz w:val="20"/>
          <w:szCs w:val="20"/>
        </w:rPr>
      </w:pPr>
      <w:r w:rsidRPr="00BE2920">
        <w:rPr>
          <w:rFonts w:ascii="Arial" w:hAnsi="Arial" w:cs="Arial"/>
          <w:sz w:val="20"/>
          <w:szCs w:val="20"/>
        </w:rPr>
        <w:tab/>
      </w:r>
    </w:p>
    <w:p w14:paraId="3F17F6D9" w14:textId="77777777" w:rsidR="00BE2920" w:rsidRPr="00BE2920" w:rsidRDefault="00BE2920" w:rsidP="00BE2920">
      <w:pPr>
        <w:spacing w:after="0" w:line="240" w:lineRule="auto"/>
        <w:rPr>
          <w:rFonts w:ascii="Arial" w:hAnsi="Arial" w:cs="Arial"/>
          <w:sz w:val="20"/>
          <w:szCs w:val="20"/>
        </w:rPr>
      </w:pPr>
      <w:r w:rsidRPr="00BE2920">
        <w:rPr>
          <w:rFonts w:ascii="Arial" w:hAnsi="Arial" w:cs="Arial"/>
          <w:sz w:val="20"/>
          <w:szCs w:val="20"/>
        </w:rPr>
        <w:t xml:space="preserve">The in-month position is driven by adult services who are £1.0m ahead of plan. This is partly from a £0.2m improvement for prior-months, following improved coding for inpatient spells and additional capture of PbR-excluded drugs, offset against paeds. </w:t>
      </w:r>
    </w:p>
    <w:p w14:paraId="1565CB23" w14:textId="77777777" w:rsidR="00BE2920" w:rsidRPr="00BE2920" w:rsidRDefault="00BE2920" w:rsidP="00BE2920">
      <w:pPr>
        <w:spacing w:after="0" w:line="240" w:lineRule="auto"/>
        <w:rPr>
          <w:rFonts w:ascii="Arial" w:hAnsi="Arial" w:cs="Arial"/>
          <w:sz w:val="20"/>
          <w:szCs w:val="20"/>
        </w:rPr>
      </w:pPr>
    </w:p>
    <w:p w14:paraId="7D2EAB31" w14:textId="77777777" w:rsidR="00BE2920" w:rsidRPr="00BE2920" w:rsidRDefault="00BE2920" w:rsidP="00BE2920">
      <w:pPr>
        <w:spacing w:after="0" w:line="240" w:lineRule="auto"/>
        <w:rPr>
          <w:rFonts w:ascii="Arial" w:hAnsi="Arial" w:cs="Arial"/>
          <w:sz w:val="20"/>
          <w:szCs w:val="20"/>
        </w:rPr>
      </w:pPr>
      <w:r w:rsidRPr="00BE2920">
        <w:rPr>
          <w:rFonts w:ascii="Arial" w:hAnsi="Arial" w:cs="Arial"/>
          <w:sz w:val="20"/>
          <w:szCs w:val="20"/>
        </w:rPr>
        <w:t>The underlying adults position is £0.8m ahead of plan in-month following high cardiology inpatient work, £0.3m ahead of plan, with ECMO and critical care contributing £0.2m driven by additional activity and case-mix respectively. Offset on non-pay, high-cost drugs and devices are £0.3m ahead of plan primarily from ICDs.</w:t>
      </w:r>
    </w:p>
    <w:p w14:paraId="026A80D3" w14:textId="77777777" w:rsidR="00BE2920" w:rsidRPr="00BE2920" w:rsidRDefault="00BE2920" w:rsidP="00BE2920">
      <w:pPr>
        <w:spacing w:after="0" w:line="240" w:lineRule="auto"/>
        <w:rPr>
          <w:rFonts w:ascii="Arial" w:hAnsi="Arial" w:cs="Arial"/>
          <w:sz w:val="20"/>
          <w:szCs w:val="20"/>
        </w:rPr>
      </w:pPr>
    </w:p>
    <w:p w14:paraId="4ADCC23E" w14:textId="77777777" w:rsidR="00BE2920" w:rsidRPr="00BE2920" w:rsidRDefault="00BE2920" w:rsidP="00BE2920">
      <w:pPr>
        <w:spacing w:after="0" w:line="240" w:lineRule="auto"/>
        <w:rPr>
          <w:rFonts w:ascii="Arial" w:hAnsi="Arial" w:cs="Arial"/>
          <w:sz w:val="20"/>
          <w:szCs w:val="20"/>
        </w:rPr>
      </w:pPr>
      <w:r w:rsidRPr="00BE2920">
        <w:rPr>
          <w:rFonts w:ascii="Arial" w:hAnsi="Arial" w:cs="Arial"/>
          <w:sz w:val="20"/>
          <w:szCs w:val="20"/>
        </w:rPr>
        <w:t>Paediatric services are on plan in-month with a £0.2m improvement for prior-months.</w:t>
      </w:r>
    </w:p>
    <w:p w14:paraId="1214A915" w14:textId="77777777" w:rsidR="00BE2920" w:rsidRPr="00BE2920" w:rsidRDefault="00BE2920" w:rsidP="00BE2920">
      <w:pPr>
        <w:spacing w:after="0" w:line="240" w:lineRule="auto"/>
        <w:rPr>
          <w:rFonts w:ascii="Arial" w:hAnsi="Arial" w:cs="Arial"/>
          <w:sz w:val="20"/>
          <w:szCs w:val="20"/>
        </w:rPr>
      </w:pPr>
    </w:p>
    <w:p w14:paraId="3DA74BF8" w14:textId="77777777" w:rsidR="00BE2920" w:rsidRPr="00BE2920" w:rsidRDefault="00BE2920" w:rsidP="00BE2920">
      <w:pPr>
        <w:spacing w:after="0" w:line="240" w:lineRule="auto"/>
        <w:rPr>
          <w:rFonts w:ascii="Arial" w:hAnsi="Arial" w:cs="Arial"/>
          <w:sz w:val="20"/>
          <w:szCs w:val="20"/>
        </w:rPr>
      </w:pPr>
      <w:r w:rsidRPr="00BE2920">
        <w:rPr>
          <w:rFonts w:ascii="Arial" w:hAnsi="Arial" w:cs="Arial"/>
          <w:sz w:val="20"/>
          <w:szCs w:val="20"/>
        </w:rPr>
        <w:t>The overall YTD position is (£0.7m) behind plan split between adults £0.7m ahead of plan, and paeds (£1.4m) behind plan.</w:t>
      </w:r>
    </w:p>
    <w:p w14:paraId="561A2B8E" w14:textId="77777777" w:rsidR="00BE2920" w:rsidRPr="00BE2920" w:rsidRDefault="00BE2920" w:rsidP="00BE2920">
      <w:pPr>
        <w:spacing w:after="0" w:line="240" w:lineRule="auto"/>
        <w:rPr>
          <w:rFonts w:ascii="Arial" w:hAnsi="Arial" w:cs="Arial"/>
          <w:sz w:val="20"/>
          <w:szCs w:val="20"/>
        </w:rPr>
      </w:pPr>
    </w:p>
    <w:p w14:paraId="4505C4D9" w14:textId="77777777" w:rsidR="00BE2920" w:rsidRPr="00BE2920" w:rsidRDefault="00BE2920" w:rsidP="00BE2920">
      <w:pPr>
        <w:spacing w:after="0" w:line="240" w:lineRule="auto"/>
        <w:rPr>
          <w:rFonts w:ascii="Arial" w:hAnsi="Arial" w:cs="Arial"/>
          <w:sz w:val="20"/>
          <w:szCs w:val="20"/>
        </w:rPr>
      </w:pPr>
      <w:r w:rsidRPr="00BE2920">
        <w:rPr>
          <w:rFonts w:ascii="Arial" w:hAnsi="Arial" w:cs="Arial"/>
          <w:sz w:val="20"/>
          <w:szCs w:val="20"/>
        </w:rPr>
        <w:t>Adult inpatients £0.8m ahead of plan YTD driven by cardiac surgery and anaesthetics. Paeds critical care and associating excess bed days (£1.3m) behind plan YTD.</w:t>
      </w:r>
    </w:p>
    <w:p w14:paraId="095D7FA5" w14:textId="77777777" w:rsidR="00BE2920" w:rsidRPr="00BE2920" w:rsidRDefault="00BE2920" w:rsidP="00BE2920">
      <w:pPr>
        <w:spacing w:after="0" w:line="240" w:lineRule="auto"/>
        <w:rPr>
          <w:rFonts w:ascii="Arial" w:hAnsi="Arial" w:cs="Arial"/>
          <w:sz w:val="20"/>
          <w:szCs w:val="20"/>
        </w:rPr>
      </w:pPr>
    </w:p>
    <w:p w14:paraId="62F68301" w14:textId="77777777" w:rsidR="00BE2920" w:rsidRPr="00BE2920" w:rsidRDefault="00BE2920" w:rsidP="00BE2920">
      <w:pPr>
        <w:spacing w:after="0" w:line="240" w:lineRule="auto"/>
        <w:rPr>
          <w:rFonts w:ascii="Arial" w:hAnsi="Arial" w:cs="Arial"/>
          <w:sz w:val="20"/>
          <w:szCs w:val="20"/>
        </w:rPr>
      </w:pPr>
      <w:r w:rsidRPr="00BE2920">
        <w:rPr>
          <w:rFonts w:ascii="Arial" w:hAnsi="Arial" w:cs="Arial"/>
          <w:sz w:val="20"/>
          <w:szCs w:val="20"/>
        </w:rPr>
        <w:t xml:space="preserve">Pay is (£0.1m) overspent in-month and underspent by £0.4m YTD. </w:t>
      </w:r>
    </w:p>
    <w:p w14:paraId="260CA1B2" w14:textId="77777777" w:rsidR="00BE2920" w:rsidRPr="00BE2920" w:rsidRDefault="00BE2920" w:rsidP="00BE2920">
      <w:pPr>
        <w:spacing w:after="0" w:line="240" w:lineRule="auto"/>
        <w:rPr>
          <w:rFonts w:ascii="Arial" w:hAnsi="Arial" w:cs="Arial"/>
          <w:sz w:val="20"/>
          <w:szCs w:val="20"/>
        </w:rPr>
      </w:pPr>
    </w:p>
    <w:p w14:paraId="4DA3E575" w14:textId="77777777" w:rsidR="00BE2920" w:rsidRPr="00BE2920" w:rsidRDefault="00BE2920" w:rsidP="00BE2920">
      <w:pPr>
        <w:spacing w:after="0" w:line="240" w:lineRule="auto"/>
        <w:rPr>
          <w:rFonts w:ascii="Arial" w:hAnsi="Arial" w:cs="Arial"/>
          <w:sz w:val="20"/>
          <w:szCs w:val="20"/>
        </w:rPr>
      </w:pPr>
      <w:r w:rsidRPr="00BE2920">
        <w:rPr>
          <w:rFonts w:ascii="Arial" w:hAnsi="Arial" w:cs="Arial"/>
          <w:sz w:val="20"/>
          <w:szCs w:val="20"/>
        </w:rPr>
        <w:t>Medical pay (£0.2m) overspent in-month driven by arrears payments for consultants and prior-month costs for medical locum shifts.</w:t>
      </w:r>
    </w:p>
    <w:p w14:paraId="23A69166" w14:textId="77777777" w:rsidR="00BE2920" w:rsidRPr="00BE2920" w:rsidRDefault="00BE2920" w:rsidP="00BE2920">
      <w:pPr>
        <w:spacing w:after="0" w:line="240" w:lineRule="auto"/>
        <w:rPr>
          <w:rFonts w:ascii="Arial" w:hAnsi="Arial" w:cs="Arial"/>
          <w:sz w:val="20"/>
          <w:szCs w:val="20"/>
        </w:rPr>
      </w:pPr>
    </w:p>
    <w:p w14:paraId="4824AC01" w14:textId="362D6566" w:rsidR="00BE2920" w:rsidRPr="00BE2920" w:rsidRDefault="00BE2920" w:rsidP="00BE2920">
      <w:pPr>
        <w:spacing w:after="0" w:line="240" w:lineRule="auto"/>
        <w:rPr>
          <w:rFonts w:ascii="Arial" w:hAnsi="Arial" w:cs="Arial"/>
          <w:sz w:val="20"/>
          <w:szCs w:val="20"/>
        </w:rPr>
      </w:pPr>
      <w:r w:rsidRPr="00BE2920">
        <w:rPr>
          <w:rFonts w:ascii="Arial" w:hAnsi="Arial" w:cs="Arial"/>
          <w:sz w:val="20"/>
          <w:szCs w:val="20"/>
        </w:rPr>
        <w:lastRenderedPageBreak/>
        <w:t xml:space="preserve">On-going vacancies </w:t>
      </w:r>
      <w:r w:rsidR="0065528D">
        <w:rPr>
          <w:rFonts w:ascii="Arial" w:hAnsi="Arial" w:cs="Arial"/>
          <w:sz w:val="20"/>
          <w:szCs w:val="20"/>
        </w:rPr>
        <w:t>for</w:t>
      </w:r>
      <w:r w:rsidRPr="00BE2920">
        <w:rPr>
          <w:rFonts w:ascii="Arial" w:hAnsi="Arial" w:cs="Arial"/>
          <w:sz w:val="20"/>
          <w:szCs w:val="20"/>
        </w:rPr>
        <w:t xml:space="preserve"> non-medical </w:t>
      </w:r>
      <w:r w:rsidR="0065528D">
        <w:rPr>
          <w:rFonts w:ascii="Arial" w:hAnsi="Arial" w:cs="Arial"/>
          <w:sz w:val="20"/>
          <w:szCs w:val="20"/>
        </w:rPr>
        <w:t>staff</w:t>
      </w:r>
      <w:r w:rsidRPr="00BE2920">
        <w:rPr>
          <w:rFonts w:ascii="Arial" w:hAnsi="Arial" w:cs="Arial"/>
          <w:sz w:val="20"/>
          <w:szCs w:val="20"/>
        </w:rPr>
        <w:t xml:space="preserve"> generate a £0.4m underspend YTD, despite absorbing a (£0.3m) pressure from junior doctor agency.</w:t>
      </w:r>
    </w:p>
    <w:p w14:paraId="41E773CF" w14:textId="77777777" w:rsidR="00BE2920" w:rsidRPr="00BE2920" w:rsidRDefault="00BE2920" w:rsidP="00BE2920">
      <w:pPr>
        <w:spacing w:after="0" w:line="240" w:lineRule="auto"/>
        <w:rPr>
          <w:rFonts w:ascii="Arial" w:hAnsi="Arial" w:cs="Arial"/>
          <w:sz w:val="20"/>
          <w:szCs w:val="20"/>
        </w:rPr>
      </w:pPr>
    </w:p>
    <w:p w14:paraId="6752B70B" w14:textId="77777777" w:rsidR="00BE2920" w:rsidRPr="00BE2920" w:rsidRDefault="00BE2920" w:rsidP="00BE2920">
      <w:pPr>
        <w:spacing w:after="0" w:line="240" w:lineRule="auto"/>
        <w:rPr>
          <w:rFonts w:ascii="Arial" w:hAnsi="Arial" w:cs="Arial"/>
          <w:sz w:val="20"/>
          <w:szCs w:val="20"/>
        </w:rPr>
      </w:pPr>
      <w:r w:rsidRPr="00BE2920">
        <w:rPr>
          <w:rFonts w:ascii="Arial" w:hAnsi="Arial" w:cs="Arial"/>
          <w:sz w:val="20"/>
          <w:szCs w:val="20"/>
        </w:rPr>
        <w:t xml:space="preserve">Non-pay budgets are overspent in-month and YTD by (£1.0m) and (£4.0m) respectively. </w:t>
      </w:r>
    </w:p>
    <w:p w14:paraId="6B4521F2" w14:textId="77777777" w:rsidR="00BE2920" w:rsidRPr="00BE2920" w:rsidRDefault="00BE2920" w:rsidP="00BE2920">
      <w:pPr>
        <w:spacing w:after="0" w:line="240" w:lineRule="auto"/>
        <w:rPr>
          <w:rFonts w:ascii="Arial" w:hAnsi="Arial" w:cs="Arial"/>
          <w:sz w:val="20"/>
          <w:szCs w:val="20"/>
        </w:rPr>
      </w:pPr>
    </w:p>
    <w:p w14:paraId="563431E8" w14:textId="6FF43D40" w:rsidR="00BE2920" w:rsidRPr="00BE2920" w:rsidRDefault="00BE2920" w:rsidP="00BE2920">
      <w:pPr>
        <w:spacing w:after="0" w:line="240" w:lineRule="auto"/>
        <w:rPr>
          <w:rFonts w:ascii="Arial" w:hAnsi="Arial" w:cs="Arial"/>
          <w:sz w:val="20"/>
          <w:szCs w:val="20"/>
        </w:rPr>
      </w:pPr>
      <w:r w:rsidRPr="00BE2920">
        <w:rPr>
          <w:rFonts w:ascii="Arial" w:hAnsi="Arial" w:cs="Arial"/>
          <w:sz w:val="20"/>
          <w:szCs w:val="20"/>
        </w:rPr>
        <w:t>The in-month position is driven by clinical supplies, (£1.0m) overspent. (£0.3m) of this is on HCDs, offset on NHS income, primarily for ICDs. The rest, (£0.7m) is driven by high-spend for cath lab and theatre consumables.</w:t>
      </w:r>
    </w:p>
    <w:p w14:paraId="2B6B67D3" w14:textId="77777777" w:rsidR="00BE2920" w:rsidRPr="00BE2920" w:rsidRDefault="00BE2920" w:rsidP="00BE2920">
      <w:pPr>
        <w:spacing w:after="0" w:line="240" w:lineRule="auto"/>
        <w:rPr>
          <w:rFonts w:ascii="Arial" w:hAnsi="Arial" w:cs="Arial"/>
          <w:sz w:val="20"/>
          <w:szCs w:val="20"/>
        </w:rPr>
      </w:pPr>
    </w:p>
    <w:p w14:paraId="527ADBA0" w14:textId="09CF357A" w:rsidR="00BE2920" w:rsidRPr="00BE2920" w:rsidRDefault="00BE2920" w:rsidP="00BE2920">
      <w:pPr>
        <w:spacing w:after="0" w:line="240" w:lineRule="auto"/>
        <w:rPr>
          <w:rFonts w:ascii="Arial" w:hAnsi="Arial" w:cs="Arial"/>
          <w:sz w:val="20"/>
          <w:szCs w:val="20"/>
        </w:rPr>
      </w:pPr>
      <w:r w:rsidRPr="00BE2920">
        <w:rPr>
          <w:rFonts w:ascii="Arial" w:hAnsi="Arial" w:cs="Arial"/>
          <w:sz w:val="20"/>
          <w:szCs w:val="20"/>
        </w:rPr>
        <w:t xml:space="preserve">The YTD position is </w:t>
      </w:r>
      <w:r w:rsidR="0065528D">
        <w:rPr>
          <w:rFonts w:ascii="Arial" w:hAnsi="Arial" w:cs="Arial"/>
          <w:sz w:val="20"/>
          <w:szCs w:val="20"/>
        </w:rPr>
        <w:t xml:space="preserve">partly </w:t>
      </w:r>
      <w:r w:rsidRPr="00BE2920">
        <w:rPr>
          <w:rFonts w:ascii="Arial" w:hAnsi="Arial" w:cs="Arial"/>
          <w:sz w:val="20"/>
          <w:szCs w:val="20"/>
        </w:rPr>
        <w:t xml:space="preserve">driven by (£0.7m) overspend on PbR-excluded drugs, </w:t>
      </w:r>
      <w:r w:rsidR="0065528D">
        <w:rPr>
          <w:rFonts w:ascii="Arial" w:hAnsi="Arial" w:cs="Arial"/>
          <w:sz w:val="20"/>
          <w:szCs w:val="20"/>
        </w:rPr>
        <w:t xml:space="preserve">and </w:t>
      </w:r>
      <w:r w:rsidRPr="00BE2920">
        <w:rPr>
          <w:rFonts w:ascii="Arial" w:hAnsi="Arial" w:cs="Arial"/>
          <w:sz w:val="20"/>
          <w:szCs w:val="20"/>
        </w:rPr>
        <w:t>(£0.6m)  PbR-excluded devices,  mitraclips and ICDs. In addition, other clinical supplies are overspent YTD by (£2.0m) mainly on consumables across cath labs and theatres.</w:t>
      </w:r>
    </w:p>
    <w:p w14:paraId="4E485806" w14:textId="77777777" w:rsidR="00BE2920" w:rsidRPr="00BE2920" w:rsidRDefault="00BE2920" w:rsidP="00BE2920">
      <w:pPr>
        <w:spacing w:after="0" w:line="240" w:lineRule="auto"/>
        <w:rPr>
          <w:rFonts w:ascii="Arial" w:hAnsi="Arial" w:cs="Arial"/>
          <w:sz w:val="20"/>
          <w:szCs w:val="20"/>
        </w:rPr>
      </w:pPr>
    </w:p>
    <w:p w14:paraId="4726F014" w14:textId="4F2F9F02" w:rsidR="00BE2920" w:rsidRPr="00CB71CF" w:rsidRDefault="00BE2920" w:rsidP="00BE2920">
      <w:pPr>
        <w:spacing w:after="0" w:line="240" w:lineRule="auto"/>
        <w:rPr>
          <w:rFonts w:ascii="Arial" w:hAnsi="Arial" w:cs="Arial"/>
          <w:sz w:val="20"/>
          <w:szCs w:val="20"/>
        </w:rPr>
      </w:pPr>
      <w:r w:rsidRPr="00BE2920">
        <w:rPr>
          <w:rFonts w:ascii="Arial" w:hAnsi="Arial" w:cs="Arial"/>
          <w:sz w:val="20"/>
          <w:szCs w:val="20"/>
        </w:rPr>
        <w:t>YTD, efficiency savings within non-pay are behind plan by (£0.4m). £0.7m has been achieved predominantly due to changes in paediatric long-term ventilation including termination of their previous contract for the provision of an online hosted patient pathway.</w:t>
      </w:r>
      <w:r w:rsidRPr="00CB71CF">
        <w:rPr>
          <w:rFonts w:ascii="Arial" w:hAnsi="Arial" w:cs="Arial"/>
          <w:sz w:val="20"/>
          <w:szCs w:val="20"/>
        </w:rPr>
        <w:t xml:space="preserve"> </w:t>
      </w:r>
    </w:p>
    <w:p w14:paraId="50168A93" w14:textId="71E153AB" w:rsidR="006A2337" w:rsidRPr="00CB71CF" w:rsidRDefault="006A2337" w:rsidP="00CB71CF">
      <w:pPr>
        <w:spacing w:after="0" w:line="240" w:lineRule="auto"/>
        <w:rPr>
          <w:rFonts w:ascii="Arial" w:hAnsi="Arial" w:cs="Arial"/>
          <w:sz w:val="20"/>
          <w:szCs w:val="20"/>
        </w:rPr>
      </w:pPr>
    </w:p>
    <w:bookmarkEnd w:id="4"/>
    <w:p w14:paraId="629D0925" w14:textId="419F3723" w:rsidR="00BE2920" w:rsidRPr="0065528D" w:rsidRDefault="000B22CA" w:rsidP="0065528D">
      <w:pPr>
        <w:pStyle w:val="ListParagraph"/>
        <w:numPr>
          <w:ilvl w:val="1"/>
          <w:numId w:val="17"/>
        </w:numPr>
        <w:spacing w:before="240"/>
        <w:jc w:val="both"/>
        <w:rPr>
          <w:rFonts w:ascii="Arial" w:hAnsi="Arial" w:cs="Arial"/>
          <w:b/>
          <w:sz w:val="20"/>
          <w:szCs w:val="20"/>
        </w:rPr>
      </w:pPr>
      <w:r w:rsidRPr="00206A7A">
        <w:rPr>
          <w:rFonts w:ascii="Arial" w:hAnsi="Arial" w:cs="Arial"/>
          <w:b/>
          <w:sz w:val="20"/>
          <w:szCs w:val="20"/>
        </w:rPr>
        <w:t>Harefield Heart</w:t>
      </w:r>
      <w:r w:rsidRPr="006A2337">
        <w:rPr>
          <w:rFonts w:ascii="Arial" w:hAnsi="Arial" w:cs="Arial"/>
          <w:b/>
          <w:sz w:val="20"/>
          <w:szCs w:val="20"/>
        </w:rPr>
        <w:t xml:space="preserve"> </w:t>
      </w:r>
    </w:p>
    <w:p w14:paraId="7D61CF90" w14:textId="77777777" w:rsidR="00BE2920" w:rsidRPr="007F2235" w:rsidRDefault="00BE2920" w:rsidP="00BE2920">
      <w:pPr>
        <w:spacing w:after="0"/>
        <w:jc w:val="both"/>
        <w:rPr>
          <w:rFonts w:ascii="Arial" w:hAnsi="Arial" w:cs="Arial"/>
          <w:sz w:val="20"/>
          <w:szCs w:val="20"/>
        </w:rPr>
      </w:pPr>
      <w:r w:rsidRPr="007F2235">
        <w:rPr>
          <w:rFonts w:ascii="Arial" w:hAnsi="Arial" w:cs="Arial"/>
          <w:sz w:val="20"/>
          <w:szCs w:val="20"/>
        </w:rPr>
        <w:t>In October the overall reported NHS income is £0.3m ahead of plan; this is driven by overperformance in Inpatients, seen in cardiac surgery and cardiology which were both £0.1m ahead of plan, partially offset by lower than plan Transplant and VAD activity in the month. Drugs &amp; devices income was behind plan in month by (£0.1m) due to only 2 VADs implanted in month partially offset by over performance in high cost drugs and ICDs. The Transplant &amp; VAD contract stood behind plan by (£0.1m); activity in month equated to 2 Hearts, 7 Lung and 2 VADs</w:t>
      </w:r>
      <w:r>
        <w:rPr>
          <w:rFonts w:ascii="Arial" w:hAnsi="Arial" w:cs="Arial"/>
          <w:sz w:val="20"/>
          <w:szCs w:val="20"/>
        </w:rPr>
        <w:t>, this represents an increase compared to Quarters 1&amp;2</w:t>
      </w:r>
      <w:r w:rsidRPr="007F2235">
        <w:rPr>
          <w:rFonts w:ascii="Arial" w:hAnsi="Arial" w:cs="Arial"/>
          <w:sz w:val="20"/>
          <w:szCs w:val="20"/>
        </w:rPr>
        <w:t xml:space="preserve">. </w:t>
      </w:r>
    </w:p>
    <w:p w14:paraId="2C64CEC9" w14:textId="77777777" w:rsidR="00BE2920" w:rsidRPr="007F2235" w:rsidRDefault="00BE2920" w:rsidP="00BE2920">
      <w:pPr>
        <w:spacing w:after="0"/>
        <w:jc w:val="both"/>
        <w:rPr>
          <w:rFonts w:ascii="Arial" w:hAnsi="Arial" w:cs="Arial"/>
          <w:sz w:val="20"/>
          <w:szCs w:val="20"/>
        </w:rPr>
      </w:pPr>
    </w:p>
    <w:p w14:paraId="325DB815" w14:textId="77777777" w:rsidR="00BE2920" w:rsidRPr="007F2235" w:rsidRDefault="00BE2920" w:rsidP="00BE2920">
      <w:pPr>
        <w:spacing w:after="0"/>
        <w:jc w:val="both"/>
        <w:rPr>
          <w:rFonts w:ascii="Arial" w:hAnsi="Arial" w:cs="Arial"/>
          <w:sz w:val="20"/>
          <w:szCs w:val="20"/>
        </w:rPr>
      </w:pPr>
      <w:r w:rsidRPr="007F2235">
        <w:rPr>
          <w:rFonts w:ascii="Arial" w:hAnsi="Arial" w:cs="Arial"/>
          <w:sz w:val="20"/>
          <w:szCs w:val="20"/>
        </w:rPr>
        <w:t>YTD, NHS income is (£0.5m) behind plan. This is driven by lower than plan VAD implants impacting both drugs and devices and procedure income, and low transplant volumes.  Inpatient income is ahead of plan by £0.5m, predominately seen in cardiac surgery. Critical care income is £1.</w:t>
      </w:r>
      <w:r>
        <w:rPr>
          <w:rFonts w:ascii="Arial" w:hAnsi="Arial" w:cs="Arial"/>
          <w:sz w:val="20"/>
          <w:szCs w:val="20"/>
        </w:rPr>
        <w:t>3</w:t>
      </w:r>
      <w:r w:rsidRPr="007F2235">
        <w:rPr>
          <w:rFonts w:ascii="Arial" w:hAnsi="Arial" w:cs="Arial"/>
          <w:sz w:val="20"/>
          <w:szCs w:val="20"/>
        </w:rPr>
        <w:t xml:space="preserve">m ahead of plan. Drugs and devices income is behind plan by (£0.6m) due to low rates of VAD implants, (18) behind plan, partially offset by a higher than plan activity rate of ICDs and high cost drugs.  The Transplant &amp; VAD contract is behind plan by (£1.5m) due to lower than planned volumes of procedures.  Long-term VADs at 8 verses a plan of 26, heart transplants at 13 compared to a plan of 24, and lung transplants at 29 are behind plan by (4). </w:t>
      </w:r>
    </w:p>
    <w:p w14:paraId="506BC6E8" w14:textId="77777777" w:rsidR="00BE2920" w:rsidRPr="007F2235" w:rsidRDefault="00BE2920" w:rsidP="00BE2920">
      <w:pPr>
        <w:spacing w:after="0"/>
        <w:jc w:val="both"/>
        <w:rPr>
          <w:rFonts w:ascii="Arial" w:hAnsi="Arial" w:cs="Arial"/>
          <w:sz w:val="20"/>
          <w:szCs w:val="20"/>
        </w:rPr>
      </w:pPr>
    </w:p>
    <w:p w14:paraId="51BAA4D9" w14:textId="41691043" w:rsidR="00BE2920" w:rsidRPr="007F2235" w:rsidRDefault="00BE2920" w:rsidP="00BE2920">
      <w:pPr>
        <w:jc w:val="both"/>
        <w:rPr>
          <w:rFonts w:ascii="Arial" w:hAnsi="Arial" w:cs="Arial"/>
          <w:color w:val="000000" w:themeColor="text1"/>
          <w:sz w:val="20"/>
          <w:szCs w:val="20"/>
        </w:rPr>
      </w:pPr>
      <w:r w:rsidRPr="007F2235">
        <w:rPr>
          <w:rFonts w:ascii="Arial" w:hAnsi="Arial" w:cs="Arial"/>
          <w:color w:val="000000" w:themeColor="text1"/>
          <w:sz w:val="20"/>
          <w:szCs w:val="20"/>
        </w:rPr>
        <w:t>Private patient income for the month is behind plan</w:t>
      </w:r>
      <w:r>
        <w:rPr>
          <w:rFonts w:ascii="Arial" w:hAnsi="Arial" w:cs="Arial"/>
          <w:color w:val="000000" w:themeColor="text1"/>
          <w:sz w:val="20"/>
          <w:szCs w:val="20"/>
        </w:rPr>
        <w:t xml:space="preserve"> by (£</w:t>
      </w:r>
      <w:r w:rsidR="004D4809">
        <w:rPr>
          <w:rFonts w:ascii="Arial" w:hAnsi="Arial" w:cs="Arial"/>
          <w:color w:val="000000" w:themeColor="text1"/>
          <w:sz w:val="20"/>
          <w:szCs w:val="20"/>
        </w:rPr>
        <w:t>0</w:t>
      </w:r>
      <w:r>
        <w:rPr>
          <w:rFonts w:ascii="Arial" w:hAnsi="Arial" w:cs="Arial"/>
          <w:color w:val="000000" w:themeColor="text1"/>
          <w:sz w:val="20"/>
          <w:szCs w:val="20"/>
        </w:rPr>
        <w:t>.</w:t>
      </w:r>
      <w:r w:rsidR="004D4809">
        <w:rPr>
          <w:rFonts w:ascii="Arial" w:hAnsi="Arial" w:cs="Arial"/>
          <w:color w:val="000000" w:themeColor="text1"/>
          <w:sz w:val="20"/>
          <w:szCs w:val="20"/>
        </w:rPr>
        <w:t>2</w:t>
      </w:r>
      <w:r>
        <w:rPr>
          <w:rFonts w:ascii="Arial" w:hAnsi="Arial" w:cs="Arial"/>
          <w:color w:val="000000" w:themeColor="text1"/>
          <w:sz w:val="20"/>
          <w:szCs w:val="20"/>
        </w:rPr>
        <w:t xml:space="preserve">m) </w:t>
      </w:r>
      <w:r w:rsidRPr="007F2235">
        <w:rPr>
          <w:rFonts w:ascii="Arial" w:hAnsi="Arial" w:cs="Arial"/>
          <w:color w:val="000000" w:themeColor="text1"/>
          <w:sz w:val="20"/>
          <w:szCs w:val="20"/>
        </w:rPr>
        <w:t>at</w:t>
      </w:r>
      <w:r>
        <w:rPr>
          <w:rFonts w:ascii="Arial" w:hAnsi="Arial" w:cs="Arial"/>
          <w:color w:val="000000" w:themeColor="text1"/>
          <w:sz w:val="20"/>
          <w:szCs w:val="20"/>
        </w:rPr>
        <w:t xml:space="preserve"> </w:t>
      </w:r>
      <w:r w:rsidRPr="007F2235">
        <w:rPr>
          <w:rFonts w:ascii="Arial" w:hAnsi="Arial" w:cs="Arial"/>
          <w:color w:val="000000" w:themeColor="text1"/>
          <w:sz w:val="20"/>
          <w:szCs w:val="20"/>
        </w:rPr>
        <w:t xml:space="preserve">£0.6m due to poor case mix and underperformance within outpatients and imaging. YTD income is behind plan by (£0.3m).  </w:t>
      </w:r>
    </w:p>
    <w:p w14:paraId="0052E843" w14:textId="77777777" w:rsidR="00BE2920" w:rsidRPr="007F2235" w:rsidRDefault="00BE2920" w:rsidP="00BE2920">
      <w:pPr>
        <w:spacing w:after="0"/>
        <w:jc w:val="both"/>
        <w:rPr>
          <w:rFonts w:ascii="Arial" w:hAnsi="Arial" w:cs="Arial"/>
          <w:color w:val="000000" w:themeColor="text1"/>
          <w:sz w:val="20"/>
          <w:szCs w:val="20"/>
        </w:rPr>
      </w:pPr>
      <w:r w:rsidRPr="007F2235">
        <w:rPr>
          <w:rFonts w:ascii="Arial" w:hAnsi="Arial" w:cs="Arial"/>
          <w:color w:val="000000" w:themeColor="text1"/>
          <w:sz w:val="20"/>
          <w:szCs w:val="20"/>
        </w:rPr>
        <w:t xml:space="preserve">Pay is on plan in month and YTD underspent by £0.3m, 1.0%.  </w:t>
      </w:r>
    </w:p>
    <w:p w14:paraId="07A4F423" w14:textId="77777777" w:rsidR="00BE2920" w:rsidRPr="007F2235" w:rsidRDefault="00BE2920" w:rsidP="00BE2920">
      <w:pPr>
        <w:spacing w:after="0"/>
        <w:jc w:val="both"/>
        <w:rPr>
          <w:rFonts w:ascii="Arial" w:hAnsi="Arial" w:cs="Arial"/>
          <w:b/>
          <w:color w:val="000000" w:themeColor="text1"/>
          <w:sz w:val="20"/>
          <w:szCs w:val="20"/>
        </w:rPr>
      </w:pPr>
    </w:p>
    <w:p w14:paraId="2C133375" w14:textId="0C77273A" w:rsidR="00CB71CF" w:rsidRPr="00BE2920" w:rsidRDefault="00BE2920" w:rsidP="00BE2920">
      <w:pPr>
        <w:spacing w:after="0"/>
        <w:jc w:val="both"/>
        <w:rPr>
          <w:rFonts w:ascii="Arial" w:hAnsi="Arial" w:cs="Arial"/>
          <w:color w:val="000000" w:themeColor="text1"/>
          <w:sz w:val="20"/>
          <w:szCs w:val="20"/>
        </w:rPr>
      </w:pPr>
      <w:r w:rsidRPr="007F2235">
        <w:rPr>
          <w:rFonts w:ascii="Arial" w:hAnsi="Arial" w:cs="Arial"/>
          <w:color w:val="000000" w:themeColor="text1"/>
          <w:sz w:val="20"/>
          <w:szCs w:val="20"/>
        </w:rPr>
        <w:t xml:space="preserve">Non-pay costs are under plan in month due to increase in clinical supplies budget linked to activity. The YTD position is underspent by £0.1m, this is driven by an over spend on high cost excluded drugs &amp; ICDs, which is offset by NHS clinical income overperformance of £0.5m and £0.2m respectively. Furthermore, overspends in non PBR clinical supplies of consumables within theatres and </w:t>
      </w:r>
      <w:r>
        <w:rPr>
          <w:rFonts w:ascii="Arial" w:hAnsi="Arial" w:cs="Arial"/>
          <w:color w:val="000000" w:themeColor="text1"/>
          <w:sz w:val="20"/>
          <w:szCs w:val="20"/>
        </w:rPr>
        <w:t>c</w:t>
      </w:r>
      <w:r w:rsidRPr="007F2235">
        <w:rPr>
          <w:rFonts w:ascii="Arial" w:hAnsi="Arial" w:cs="Arial"/>
          <w:color w:val="000000" w:themeColor="text1"/>
          <w:sz w:val="20"/>
          <w:szCs w:val="20"/>
        </w:rPr>
        <w:t>ath labs are offset by underspends in VAD implants.</w:t>
      </w:r>
      <w:r>
        <w:rPr>
          <w:rFonts w:ascii="Arial" w:hAnsi="Arial" w:cs="Arial"/>
          <w:color w:val="000000" w:themeColor="text1"/>
          <w:sz w:val="20"/>
          <w:szCs w:val="20"/>
        </w:rPr>
        <w:t xml:space="preserve">  </w:t>
      </w:r>
    </w:p>
    <w:p w14:paraId="2B74D522" w14:textId="3C2153CA" w:rsidR="00CB71CF" w:rsidRDefault="0065528D">
      <w:pPr>
        <w:spacing w:after="0" w:line="240" w:lineRule="auto"/>
        <w:rPr>
          <w:rFonts w:ascii="Arial" w:hAnsi="Arial" w:cs="Arial"/>
          <w:b/>
          <w:sz w:val="20"/>
          <w:szCs w:val="20"/>
        </w:rPr>
      </w:pPr>
      <w:r>
        <w:rPr>
          <w:rFonts w:ascii="Arial" w:hAnsi="Arial" w:cs="Arial"/>
          <w:b/>
          <w:sz w:val="20"/>
          <w:szCs w:val="20"/>
        </w:rPr>
        <w:br w:type="page"/>
      </w:r>
    </w:p>
    <w:p w14:paraId="344884D3" w14:textId="336FC092" w:rsidR="005E5730" w:rsidRPr="00660FB3" w:rsidRDefault="00512A4D" w:rsidP="00202A7D">
      <w:pPr>
        <w:pStyle w:val="ListParagraph"/>
        <w:numPr>
          <w:ilvl w:val="1"/>
          <w:numId w:val="17"/>
        </w:numPr>
        <w:spacing w:before="240"/>
        <w:jc w:val="both"/>
        <w:rPr>
          <w:rFonts w:ascii="Arial" w:hAnsi="Arial" w:cs="Arial"/>
          <w:b/>
          <w:sz w:val="20"/>
          <w:szCs w:val="20"/>
        </w:rPr>
      </w:pPr>
      <w:r w:rsidRPr="00660FB3">
        <w:rPr>
          <w:rFonts w:ascii="Arial" w:hAnsi="Arial" w:cs="Arial"/>
          <w:b/>
          <w:sz w:val="20"/>
          <w:szCs w:val="20"/>
        </w:rPr>
        <w:lastRenderedPageBreak/>
        <w:t>Lung</w:t>
      </w:r>
    </w:p>
    <w:p w14:paraId="174C11A5" w14:textId="009542FB" w:rsidR="00BE2920" w:rsidRPr="00BE2920" w:rsidRDefault="00BE2920" w:rsidP="00BE2920">
      <w:pPr>
        <w:spacing w:after="0" w:line="240" w:lineRule="auto"/>
        <w:rPr>
          <w:rFonts w:ascii="Arial" w:hAnsi="Arial" w:cs="Arial"/>
          <w:sz w:val="20"/>
          <w:szCs w:val="20"/>
        </w:rPr>
      </w:pPr>
      <w:r w:rsidRPr="00BE2920">
        <w:rPr>
          <w:rFonts w:ascii="Arial" w:hAnsi="Arial" w:cs="Arial"/>
          <w:sz w:val="20"/>
          <w:szCs w:val="20"/>
        </w:rPr>
        <w:t xml:space="preserve">NHS income is (£0.2m) behind plan in month driven by (£0.2m) underperformance in high-cost, contract-excluded drugs with a corresponding non-pay underspend </w:t>
      </w:r>
    </w:p>
    <w:p w14:paraId="5C4DB11E" w14:textId="77777777" w:rsidR="00BE2920" w:rsidRPr="00BE2920" w:rsidRDefault="00BE2920" w:rsidP="00BE2920">
      <w:pPr>
        <w:spacing w:after="0" w:line="240" w:lineRule="auto"/>
        <w:rPr>
          <w:rFonts w:ascii="Arial" w:hAnsi="Arial" w:cs="Arial"/>
          <w:sz w:val="20"/>
          <w:szCs w:val="20"/>
        </w:rPr>
      </w:pPr>
      <w:r w:rsidRPr="00BE2920">
        <w:rPr>
          <w:rFonts w:ascii="Arial" w:hAnsi="Arial" w:cs="Arial"/>
          <w:sz w:val="20"/>
          <w:szCs w:val="20"/>
        </w:rPr>
        <w:t xml:space="preserve">YTD NHS income is £2.2m ahead of plan driven by £1.7m overperformance in inpatient activity, £0.2m in critical care and £0.7m in high-cost, contract-excluded drugs with a corresponding non-pay overspend. </w:t>
      </w:r>
    </w:p>
    <w:p w14:paraId="2B90C55C" w14:textId="77777777" w:rsidR="00BE2920" w:rsidRPr="00BE2920" w:rsidRDefault="00BE2920" w:rsidP="00BE2920">
      <w:pPr>
        <w:spacing w:after="0" w:line="240" w:lineRule="auto"/>
        <w:rPr>
          <w:rFonts w:ascii="Arial" w:hAnsi="Arial" w:cs="Arial"/>
          <w:sz w:val="20"/>
          <w:szCs w:val="20"/>
        </w:rPr>
      </w:pPr>
      <w:r w:rsidRPr="00BE2920">
        <w:rPr>
          <w:rFonts w:ascii="Arial" w:hAnsi="Arial" w:cs="Arial"/>
          <w:sz w:val="20"/>
          <w:szCs w:val="20"/>
        </w:rPr>
        <w:t xml:space="preserve">Private patient income is marginally ahead of plan in month and £0.2m ahead YTD, driven by thoracic surgery at the Royal Brompton. </w:t>
      </w:r>
    </w:p>
    <w:p w14:paraId="69832067" w14:textId="1F608EAA" w:rsidR="00CB71CF" w:rsidRDefault="00BE2920" w:rsidP="00BE2920">
      <w:pPr>
        <w:spacing w:after="0" w:line="240" w:lineRule="auto"/>
        <w:rPr>
          <w:rFonts w:ascii="Arial" w:hAnsi="Arial" w:cs="Arial"/>
          <w:color w:val="000000" w:themeColor="text1"/>
          <w:sz w:val="20"/>
          <w:szCs w:val="20"/>
        </w:rPr>
      </w:pPr>
      <w:r w:rsidRPr="00BE2920">
        <w:rPr>
          <w:rFonts w:ascii="Arial" w:hAnsi="Arial" w:cs="Arial"/>
          <w:sz w:val="20"/>
          <w:szCs w:val="20"/>
        </w:rPr>
        <w:t>Pay is (£0.1m) overspent in month and (£0.3m) YTD due to overspends on junior doctors and nursing agency. Non-pay is £0.2m underspent in month and (£0.6m) overspend YTD, with (£0.2m) of this being driven by high-cost, contract-excluded drugs, with a corresponding positive income movement. Clinical supplies are (£0.2m) overspent YTD and establishment (£0.2m) YTD: however, £0.2m is offset by commercial income</w:t>
      </w:r>
      <w:r>
        <w:rPr>
          <w:rFonts w:ascii="Arial" w:hAnsi="Arial" w:cs="Arial"/>
          <w:sz w:val="20"/>
          <w:szCs w:val="20"/>
        </w:rPr>
        <w:t>.</w:t>
      </w:r>
    </w:p>
    <w:p w14:paraId="322E27F4" w14:textId="77777777" w:rsidR="00CB71CF" w:rsidRDefault="00CB71CF" w:rsidP="00AA15E3">
      <w:pPr>
        <w:spacing w:after="0"/>
        <w:jc w:val="both"/>
        <w:rPr>
          <w:rFonts w:ascii="Arial" w:hAnsi="Arial" w:cs="Arial"/>
          <w:color w:val="000000" w:themeColor="text1"/>
          <w:sz w:val="20"/>
          <w:szCs w:val="20"/>
        </w:rPr>
      </w:pPr>
    </w:p>
    <w:p w14:paraId="7E215B0E" w14:textId="79374E07" w:rsidR="00A3260B" w:rsidRDefault="00A3260B">
      <w:pPr>
        <w:spacing w:after="0" w:line="240" w:lineRule="auto"/>
        <w:rPr>
          <w:rFonts w:ascii="Arial" w:eastAsiaTheme="minorHAnsi" w:hAnsi="Arial" w:cs="Arial"/>
          <w:b/>
          <w:sz w:val="20"/>
          <w:szCs w:val="20"/>
        </w:rPr>
      </w:pPr>
    </w:p>
    <w:p w14:paraId="354C6DF0" w14:textId="0C824F1A" w:rsidR="005E5730" w:rsidRDefault="005E5730" w:rsidP="00206A7A">
      <w:pPr>
        <w:pStyle w:val="ListParagraph"/>
        <w:numPr>
          <w:ilvl w:val="1"/>
          <w:numId w:val="17"/>
        </w:numPr>
        <w:jc w:val="both"/>
        <w:rPr>
          <w:rFonts w:ascii="Arial" w:eastAsiaTheme="minorHAnsi" w:hAnsi="Arial" w:cs="Arial"/>
          <w:b/>
          <w:sz w:val="20"/>
          <w:szCs w:val="20"/>
        </w:rPr>
      </w:pPr>
      <w:r w:rsidRPr="00206A7A">
        <w:rPr>
          <w:rFonts w:ascii="Arial" w:eastAsiaTheme="minorHAnsi" w:hAnsi="Arial" w:cs="Arial"/>
          <w:b/>
          <w:sz w:val="20"/>
          <w:szCs w:val="20"/>
        </w:rPr>
        <w:t>Private Patients</w:t>
      </w:r>
    </w:p>
    <w:p w14:paraId="33DB284C" w14:textId="77777777" w:rsidR="0045624B" w:rsidRPr="0045624B" w:rsidRDefault="0045624B" w:rsidP="0045624B">
      <w:pPr>
        <w:jc w:val="both"/>
        <w:rPr>
          <w:rFonts w:ascii="Arial" w:eastAsiaTheme="minorHAnsi" w:hAnsi="Arial" w:cs="Arial"/>
          <w:b/>
          <w:sz w:val="20"/>
          <w:szCs w:val="20"/>
        </w:rPr>
      </w:pPr>
      <w:r w:rsidRPr="0045624B">
        <w:rPr>
          <w:rFonts w:ascii="Arial" w:eastAsiaTheme="minorHAnsi" w:hAnsi="Arial" w:cs="Arial"/>
          <w:b/>
          <w:sz w:val="20"/>
          <w:szCs w:val="20"/>
        </w:rPr>
        <w:t>Total Private Patient Income</w:t>
      </w:r>
    </w:p>
    <w:p w14:paraId="79A5CA2A" w14:textId="56BCDB18" w:rsidR="0045624B" w:rsidRPr="0045624B" w:rsidRDefault="002A58B3" w:rsidP="0045624B">
      <w:pPr>
        <w:jc w:val="both"/>
        <w:rPr>
          <w:rFonts w:ascii="Arial" w:eastAsiaTheme="minorHAnsi" w:hAnsi="Arial" w:cs="Arial"/>
          <w:b/>
          <w:sz w:val="20"/>
          <w:szCs w:val="20"/>
        </w:rPr>
      </w:pPr>
      <w:r w:rsidRPr="002A58B3">
        <w:rPr>
          <w:rFonts w:eastAsiaTheme="minorHAnsi"/>
          <w:noProof/>
        </w:rPr>
        <w:drawing>
          <wp:inline distT="0" distB="0" distL="0" distR="0" wp14:anchorId="7E049D72" wp14:editId="1E6A3072">
            <wp:extent cx="5943600" cy="12680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268095"/>
                    </a:xfrm>
                    <a:prstGeom prst="rect">
                      <a:avLst/>
                    </a:prstGeom>
                    <a:noFill/>
                    <a:ln>
                      <a:noFill/>
                    </a:ln>
                  </pic:spPr>
                </pic:pic>
              </a:graphicData>
            </a:graphic>
          </wp:inline>
        </w:drawing>
      </w:r>
    </w:p>
    <w:p w14:paraId="7008BBD4" w14:textId="77777777" w:rsidR="005043B9" w:rsidRPr="005043B9" w:rsidRDefault="005043B9" w:rsidP="005043B9">
      <w:pPr>
        <w:jc w:val="both"/>
        <w:rPr>
          <w:rFonts w:ascii="Arial" w:eastAsiaTheme="minorHAnsi" w:hAnsi="Arial" w:cs="Arial"/>
          <w:sz w:val="20"/>
          <w:szCs w:val="20"/>
        </w:rPr>
      </w:pPr>
      <w:r w:rsidRPr="005043B9">
        <w:rPr>
          <w:rFonts w:ascii="Arial" w:eastAsiaTheme="minorHAnsi" w:hAnsi="Arial" w:cs="Arial"/>
          <w:sz w:val="20"/>
          <w:szCs w:val="20"/>
        </w:rPr>
        <w:t xml:space="preserve">With income at £4.0m the in-month position is ahead of plan by £155k. (excluding Wimpole St. NHS Income) </w:t>
      </w:r>
    </w:p>
    <w:p w14:paraId="1A1A9B1F" w14:textId="77777777" w:rsidR="005043B9" w:rsidRPr="005043B9" w:rsidRDefault="005043B9" w:rsidP="005043B9">
      <w:pPr>
        <w:jc w:val="both"/>
        <w:rPr>
          <w:rFonts w:ascii="Arial" w:eastAsiaTheme="minorHAnsi" w:hAnsi="Arial" w:cs="Arial"/>
          <w:sz w:val="20"/>
          <w:szCs w:val="20"/>
        </w:rPr>
      </w:pPr>
      <w:r w:rsidRPr="005043B9">
        <w:rPr>
          <w:rFonts w:ascii="Arial" w:eastAsiaTheme="minorHAnsi" w:hAnsi="Arial" w:cs="Arial"/>
          <w:sz w:val="20"/>
          <w:szCs w:val="20"/>
        </w:rPr>
        <w:t>RBH Heart over achieved by £190k, this comprises of ECMO £148k, Paediatric £56k, Cardiology £132k, partly offset by under achievements within Imaging (£37k) and Cardiac Surgery (£139k). The over achievement is mainly driven by a rich case mix and volume including devices which include 5 ICD’s, 3 TAVI’s and 1 Mitra Clip.</w:t>
      </w:r>
    </w:p>
    <w:p w14:paraId="09BDA558" w14:textId="77777777" w:rsidR="005043B9" w:rsidRPr="005043B9" w:rsidRDefault="005043B9" w:rsidP="005043B9">
      <w:pPr>
        <w:jc w:val="both"/>
        <w:rPr>
          <w:rFonts w:ascii="Arial" w:eastAsiaTheme="minorHAnsi" w:hAnsi="Arial" w:cs="Arial"/>
          <w:sz w:val="20"/>
          <w:szCs w:val="20"/>
        </w:rPr>
      </w:pPr>
      <w:r w:rsidRPr="005043B9">
        <w:rPr>
          <w:rFonts w:ascii="Arial" w:eastAsiaTheme="minorHAnsi" w:hAnsi="Arial" w:cs="Arial"/>
          <w:sz w:val="20"/>
          <w:szCs w:val="20"/>
        </w:rPr>
        <w:t>RBH Heart inpatient activity is behind plan by (3) cases in month.</w:t>
      </w:r>
    </w:p>
    <w:p w14:paraId="4B7CD378" w14:textId="77777777" w:rsidR="005043B9" w:rsidRPr="005043B9" w:rsidRDefault="005043B9" w:rsidP="005043B9">
      <w:pPr>
        <w:jc w:val="both"/>
        <w:rPr>
          <w:rFonts w:ascii="Arial" w:eastAsiaTheme="minorHAnsi" w:hAnsi="Arial" w:cs="Arial"/>
          <w:sz w:val="20"/>
          <w:szCs w:val="20"/>
        </w:rPr>
      </w:pPr>
      <w:r w:rsidRPr="005043B9">
        <w:rPr>
          <w:rFonts w:ascii="Arial" w:eastAsiaTheme="minorHAnsi" w:hAnsi="Arial" w:cs="Arial"/>
          <w:sz w:val="20"/>
          <w:szCs w:val="20"/>
        </w:rPr>
        <w:t xml:space="preserve">RBH Outpatient attendances are behind plan by (174). This consists of (120) new and (54) follow ups. </w:t>
      </w:r>
    </w:p>
    <w:p w14:paraId="0EC98CC5" w14:textId="77777777" w:rsidR="005043B9" w:rsidRPr="005043B9" w:rsidRDefault="005043B9" w:rsidP="005043B9">
      <w:pPr>
        <w:jc w:val="both"/>
        <w:rPr>
          <w:rFonts w:ascii="Arial" w:eastAsiaTheme="minorHAnsi" w:hAnsi="Arial" w:cs="Arial"/>
          <w:sz w:val="20"/>
          <w:szCs w:val="20"/>
        </w:rPr>
      </w:pPr>
      <w:r w:rsidRPr="005043B9">
        <w:rPr>
          <w:rFonts w:ascii="Arial" w:eastAsiaTheme="minorHAnsi" w:hAnsi="Arial" w:cs="Arial"/>
          <w:sz w:val="20"/>
          <w:szCs w:val="20"/>
        </w:rPr>
        <w:t xml:space="preserve">HH Heart has reported an under achievement of (£213k), this comprises of Cardiac Surgery (£140k), Imaging (£41k), Cardiology (£27k). This is partly driven by key consultants on leave resulting in a decline within insurance cases. </w:t>
      </w:r>
    </w:p>
    <w:p w14:paraId="652A23CD" w14:textId="77777777" w:rsidR="005043B9" w:rsidRPr="005043B9" w:rsidRDefault="005043B9" w:rsidP="005043B9">
      <w:pPr>
        <w:jc w:val="both"/>
        <w:rPr>
          <w:rFonts w:ascii="Arial" w:eastAsiaTheme="minorHAnsi" w:hAnsi="Arial" w:cs="Arial"/>
          <w:sz w:val="20"/>
          <w:szCs w:val="20"/>
        </w:rPr>
      </w:pPr>
      <w:r w:rsidRPr="005043B9">
        <w:rPr>
          <w:rFonts w:ascii="Arial" w:eastAsiaTheme="minorHAnsi" w:hAnsi="Arial" w:cs="Arial"/>
          <w:sz w:val="20"/>
          <w:szCs w:val="20"/>
        </w:rPr>
        <w:t xml:space="preserve">HH Heart Inpatient activity is behind plan by (9) cases. This consists of Cardiology (6) and Surgery (3).   </w:t>
      </w:r>
    </w:p>
    <w:p w14:paraId="1CAC5F31" w14:textId="77777777" w:rsidR="005043B9" w:rsidRPr="005043B9" w:rsidRDefault="005043B9" w:rsidP="005043B9">
      <w:pPr>
        <w:jc w:val="both"/>
        <w:rPr>
          <w:rFonts w:ascii="Arial" w:eastAsiaTheme="minorHAnsi" w:hAnsi="Arial" w:cs="Arial"/>
          <w:sz w:val="20"/>
          <w:szCs w:val="20"/>
        </w:rPr>
      </w:pPr>
      <w:r w:rsidRPr="005043B9">
        <w:rPr>
          <w:rFonts w:ascii="Arial" w:eastAsiaTheme="minorHAnsi" w:hAnsi="Arial" w:cs="Arial"/>
          <w:sz w:val="20"/>
          <w:szCs w:val="20"/>
        </w:rPr>
        <w:t xml:space="preserve">HH Outpatients attendances are behind by (79), this consists of (8) new and (71) follow up. </w:t>
      </w:r>
    </w:p>
    <w:p w14:paraId="1BCCADF9" w14:textId="77777777" w:rsidR="005043B9" w:rsidRPr="005043B9" w:rsidRDefault="005043B9" w:rsidP="005043B9">
      <w:pPr>
        <w:jc w:val="both"/>
        <w:rPr>
          <w:rFonts w:ascii="Arial" w:eastAsiaTheme="minorHAnsi" w:hAnsi="Arial" w:cs="Arial"/>
          <w:sz w:val="20"/>
          <w:szCs w:val="20"/>
        </w:rPr>
      </w:pPr>
      <w:r w:rsidRPr="005043B9">
        <w:rPr>
          <w:rFonts w:ascii="Arial" w:eastAsiaTheme="minorHAnsi" w:hAnsi="Arial" w:cs="Arial"/>
          <w:sz w:val="20"/>
          <w:szCs w:val="20"/>
        </w:rPr>
        <w:t xml:space="preserve">Lung has over achieved by £18k, this consists of RBH £30k and partly offset by HH (£12k). This is mainly driven by over performance against activity at the RBH. </w:t>
      </w:r>
    </w:p>
    <w:p w14:paraId="163AF4C3" w14:textId="77777777" w:rsidR="005043B9" w:rsidRPr="005043B9" w:rsidRDefault="005043B9" w:rsidP="005043B9">
      <w:pPr>
        <w:jc w:val="both"/>
        <w:rPr>
          <w:rFonts w:ascii="Arial" w:eastAsiaTheme="minorHAnsi" w:hAnsi="Arial" w:cs="Arial"/>
          <w:sz w:val="20"/>
          <w:szCs w:val="20"/>
        </w:rPr>
      </w:pPr>
      <w:r w:rsidRPr="005043B9">
        <w:rPr>
          <w:rFonts w:ascii="Arial" w:eastAsiaTheme="minorHAnsi" w:hAnsi="Arial" w:cs="Arial"/>
          <w:sz w:val="20"/>
          <w:szCs w:val="20"/>
        </w:rPr>
        <w:t>Lung inpatient activity is ahead of plan by 7. This consists of HH 1 and RBH 6.</w:t>
      </w:r>
    </w:p>
    <w:p w14:paraId="4EA18D64" w14:textId="5E3F02BD" w:rsidR="005043B9" w:rsidRDefault="005043B9" w:rsidP="005043B9">
      <w:pPr>
        <w:jc w:val="both"/>
        <w:rPr>
          <w:rFonts w:ascii="Arial" w:eastAsiaTheme="minorHAnsi" w:hAnsi="Arial" w:cs="Arial"/>
          <w:sz w:val="20"/>
          <w:szCs w:val="20"/>
        </w:rPr>
      </w:pPr>
      <w:r w:rsidRPr="005043B9">
        <w:rPr>
          <w:rFonts w:ascii="Arial" w:eastAsiaTheme="minorHAnsi" w:hAnsi="Arial" w:cs="Arial"/>
          <w:sz w:val="20"/>
          <w:szCs w:val="20"/>
        </w:rPr>
        <w:t>Total PP in-month activity is behind of plan by (5) episodes, all at HH</w:t>
      </w:r>
      <w:r>
        <w:rPr>
          <w:rFonts w:ascii="Arial" w:eastAsiaTheme="minorHAnsi" w:hAnsi="Arial" w:cs="Arial"/>
          <w:sz w:val="20"/>
          <w:szCs w:val="20"/>
        </w:rPr>
        <w:t>.</w:t>
      </w:r>
    </w:p>
    <w:p w14:paraId="3258F796" w14:textId="77777777" w:rsidR="005043B9" w:rsidRDefault="005043B9">
      <w:pPr>
        <w:spacing w:after="0" w:line="240" w:lineRule="auto"/>
        <w:rPr>
          <w:rFonts w:ascii="Arial" w:eastAsiaTheme="minorHAnsi" w:hAnsi="Arial" w:cs="Arial"/>
          <w:sz w:val="20"/>
          <w:szCs w:val="20"/>
        </w:rPr>
      </w:pPr>
      <w:r>
        <w:rPr>
          <w:rFonts w:ascii="Arial" w:eastAsiaTheme="minorHAnsi" w:hAnsi="Arial" w:cs="Arial"/>
          <w:sz w:val="20"/>
          <w:szCs w:val="20"/>
        </w:rPr>
        <w:br w:type="page"/>
      </w:r>
    </w:p>
    <w:p w14:paraId="6AABDCB5" w14:textId="77777777" w:rsidR="0045624B" w:rsidRPr="0045624B" w:rsidRDefault="0045624B" w:rsidP="005043B9">
      <w:pPr>
        <w:jc w:val="both"/>
        <w:rPr>
          <w:rFonts w:ascii="Arial" w:eastAsiaTheme="minorHAnsi" w:hAnsi="Arial" w:cs="Arial"/>
          <w:sz w:val="20"/>
          <w:szCs w:val="20"/>
        </w:rPr>
      </w:pPr>
    </w:p>
    <w:p w14:paraId="4CEFDEC1" w14:textId="451D88C2" w:rsidR="0045624B" w:rsidRPr="0045624B" w:rsidRDefault="002A58B3" w:rsidP="0045624B">
      <w:pPr>
        <w:jc w:val="both"/>
        <w:rPr>
          <w:rFonts w:ascii="Arial" w:eastAsiaTheme="minorHAnsi" w:hAnsi="Arial" w:cs="Arial"/>
          <w:sz w:val="20"/>
          <w:szCs w:val="20"/>
        </w:rPr>
      </w:pPr>
      <w:r w:rsidRPr="002A58B3">
        <w:rPr>
          <w:rFonts w:eastAsiaTheme="minorHAnsi"/>
          <w:noProof/>
        </w:rPr>
        <w:drawing>
          <wp:inline distT="0" distB="0" distL="0" distR="0" wp14:anchorId="33453917" wp14:editId="5333AF35">
            <wp:extent cx="5943600" cy="129349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293495"/>
                    </a:xfrm>
                    <a:prstGeom prst="rect">
                      <a:avLst/>
                    </a:prstGeom>
                    <a:noFill/>
                    <a:ln>
                      <a:noFill/>
                    </a:ln>
                  </pic:spPr>
                </pic:pic>
              </a:graphicData>
            </a:graphic>
          </wp:inline>
        </w:drawing>
      </w:r>
    </w:p>
    <w:p w14:paraId="73375644" w14:textId="77777777" w:rsidR="005043B9" w:rsidRPr="005043B9" w:rsidRDefault="005043B9" w:rsidP="005043B9">
      <w:pPr>
        <w:jc w:val="both"/>
        <w:rPr>
          <w:rFonts w:ascii="Arial" w:eastAsiaTheme="minorHAnsi" w:hAnsi="Arial" w:cs="Arial"/>
          <w:sz w:val="20"/>
          <w:szCs w:val="20"/>
        </w:rPr>
      </w:pPr>
      <w:r w:rsidRPr="005043B9">
        <w:rPr>
          <w:rFonts w:ascii="Arial" w:eastAsiaTheme="minorHAnsi" w:hAnsi="Arial" w:cs="Arial"/>
          <w:sz w:val="20"/>
          <w:szCs w:val="20"/>
        </w:rPr>
        <w:t xml:space="preserve">The YTD position is £1.4m ahead of plan, excluding Wimpole St. NHS. This has been driven mainly by over performance on both diagnostics and activity at Wimpole St, a rich case mix including high value devices and international cases for RBH Heart, a rich long staying international case mix at HH, and a rich Thoracic Surgery case mix for Lung on the Brompton site. This has been partly offset by under-performance within outpatients and imaging. </w:t>
      </w:r>
    </w:p>
    <w:p w14:paraId="538E1AF6" w14:textId="5EE4B20F" w:rsidR="0045624B" w:rsidRPr="0045624B" w:rsidRDefault="005043B9" w:rsidP="0045624B">
      <w:pPr>
        <w:jc w:val="both"/>
        <w:rPr>
          <w:rFonts w:ascii="Arial" w:eastAsiaTheme="minorHAnsi" w:hAnsi="Arial" w:cs="Arial"/>
          <w:sz w:val="20"/>
          <w:szCs w:val="20"/>
        </w:rPr>
      </w:pPr>
      <w:r w:rsidRPr="005043B9">
        <w:rPr>
          <w:rFonts w:ascii="Arial" w:eastAsiaTheme="minorHAnsi" w:hAnsi="Arial" w:cs="Arial"/>
          <w:sz w:val="20"/>
          <w:szCs w:val="20"/>
        </w:rPr>
        <w:t>YTD Inpatient activity is behind by (123) cases, (21) at RBH and (105) at HH</w:t>
      </w:r>
    </w:p>
    <w:p w14:paraId="0DAD24CA" w14:textId="0350F3D9" w:rsidR="0045624B" w:rsidRPr="0045624B" w:rsidRDefault="005043B9" w:rsidP="0045624B">
      <w:pPr>
        <w:jc w:val="both"/>
        <w:rPr>
          <w:rFonts w:ascii="Arial" w:eastAsiaTheme="minorHAnsi" w:hAnsi="Arial" w:cs="Arial"/>
          <w:sz w:val="20"/>
          <w:szCs w:val="20"/>
        </w:rPr>
      </w:pPr>
      <w:r>
        <w:rPr>
          <w:rFonts w:ascii="Arial" w:eastAsiaTheme="minorHAnsi" w:hAnsi="Arial" w:cs="Arial"/>
          <w:noProof/>
          <w:sz w:val="20"/>
          <w:szCs w:val="20"/>
        </w:rPr>
        <w:drawing>
          <wp:inline distT="0" distB="0" distL="0" distR="0" wp14:anchorId="5AE64008" wp14:editId="0D6F565D">
            <wp:extent cx="6816090" cy="134112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16090" cy="1341120"/>
                    </a:xfrm>
                    <a:prstGeom prst="rect">
                      <a:avLst/>
                    </a:prstGeom>
                    <a:noFill/>
                  </pic:spPr>
                </pic:pic>
              </a:graphicData>
            </a:graphic>
          </wp:inline>
        </w:drawing>
      </w:r>
    </w:p>
    <w:p w14:paraId="24B24693" w14:textId="77777777" w:rsidR="005043B9" w:rsidRPr="005043B9" w:rsidRDefault="005043B9" w:rsidP="005043B9">
      <w:pPr>
        <w:jc w:val="both"/>
        <w:rPr>
          <w:rFonts w:ascii="Arial" w:eastAsiaTheme="minorHAnsi" w:hAnsi="Arial" w:cs="Arial"/>
          <w:sz w:val="20"/>
          <w:szCs w:val="20"/>
        </w:rPr>
      </w:pPr>
      <w:r w:rsidRPr="005043B9">
        <w:rPr>
          <w:rFonts w:ascii="Arial" w:eastAsiaTheme="minorHAnsi" w:hAnsi="Arial" w:cs="Arial"/>
          <w:sz w:val="20"/>
          <w:szCs w:val="20"/>
        </w:rPr>
        <w:t xml:space="preserve">In-month PP income has over achieved by £97k, this is driven by over performance and comprises predominantly of echo £22k, Imaging £45k, Lung Function £10k, and Non-Invasive £19k. </w:t>
      </w:r>
    </w:p>
    <w:p w14:paraId="664A39E3" w14:textId="77777777" w:rsidR="005043B9" w:rsidRPr="005043B9" w:rsidRDefault="005043B9" w:rsidP="005043B9">
      <w:pPr>
        <w:jc w:val="both"/>
        <w:rPr>
          <w:rFonts w:ascii="Arial" w:eastAsiaTheme="minorHAnsi" w:hAnsi="Arial" w:cs="Arial"/>
          <w:sz w:val="20"/>
          <w:szCs w:val="20"/>
        </w:rPr>
      </w:pPr>
      <w:r w:rsidRPr="005043B9">
        <w:rPr>
          <w:rFonts w:ascii="Arial" w:eastAsiaTheme="minorHAnsi" w:hAnsi="Arial" w:cs="Arial"/>
          <w:sz w:val="20"/>
          <w:szCs w:val="20"/>
        </w:rPr>
        <w:t xml:space="preserve">In-month NHS income under achieved by (£5k), this is mainly due under performance against Trust to Trust activity (£11k) relating to Imperial College NHST, offset partly by RBH referrals £6k. </w:t>
      </w:r>
    </w:p>
    <w:p w14:paraId="489B940E" w14:textId="77777777" w:rsidR="005043B9" w:rsidRPr="005043B9" w:rsidRDefault="005043B9" w:rsidP="005043B9">
      <w:pPr>
        <w:jc w:val="both"/>
        <w:rPr>
          <w:rFonts w:ascii="Arial" w:eastAsiaTheme="minorHAnsi" w:hAnsi="Arial" w:cs="Arial"/>
          <w:sz w:val="20"/>
          <w:szCs w:val="20"/>
        </w:rPr>
      </w:pPr>
      <w:r w:rsidRPr="005043B9">
        <w:rPr>
          <w:rFonts w:ascii="Arial" w:eastAsiaTheme="minorHAnsi" w:hAnsi="Arial" w:cs="Arial"/>
          <w:sz w:val="20"/>
          <w:szCs w:val="20"/>
        </w:rPr>
        <w:t>In-month PP attendances are above plan by 384, of this 108 are new attendances and 276 are follow ups. YTD Activity is above by 2,064, of this 565 are new attendances and 1,449 are follow ups</w:t>
      </w:r>
    </w:p>
    <w:p w14:paraId="138BA7B8" w14:textId="77777777" w:rsidR="005043B9" w:rsidRPr="005043B9" w:rsidRDefault="005043B9" w:rsidP="005043B9">
      <w:pPr>
        <w:jc w:val="both"/>
        <w:rPr>
          <w:rFonts w:ascii="Arial" w:eastAsiaTheme="minorHAnsi" w:hAnsi="Arial" w:cs="Arial"/>
          <w:sz w:val="20"/>
          <w:szCs w:val="20"/>
        </w:rPr>
      </w:pPr>
    </w:p>
    <w:p w14:paraId="6FADEE05" w14:textId="77777777" w:rsidR="005043B9" w:rsidRPr="005043B9" w:rsidRDefault="005043B9" w:rsidP="005043B9">
      <w:pPr>
        <w:jc w:val="both"/>
        <w:rPr>
          <w:rFonts w:ascii="Arial" w:eastAsiaTheme="minorHAnsi" w:hAnsi="Arial" w:cs="Arial"/>
          <w:sz w:val="20"/>
          <w:szCs w:val="20"/>
        </w:rPr>
      </w:pPr>
      <w:r w:rsidRPr="005043B9">
        <w:rPr>
          <w:rFonts w:ascii="Arial" w:eastAsiaTheme="minorHAnsi" w:hAnsi="Arial" w:cs="Arial"/>
          <w:sz w:val="20"/>
          <w:szCs w:val="20"/>
        </w:rPr>
        <w:t xml:space="preserve">Pay is (6k) over spent in month and underspent by £35k YTD due to various vacancies over the year within Imaging, admin and nursing. </w:t>
      </w:r>
    </w:p>
    <w:p w14:paraId="78629B97" w14:textId="7E912E26" w:rsidR="0045624B" w:rsidRPr="0045624B" w:rsidRDefault="005043B9" w:rsidP="005043B9">
      <w:pPr>
        <w:jc w:val="both"/>
        <w:rPr>
          <w:rFonts w:ascii="Arial" w:eastAsiaTheme="minorHAnsi" w:hAnsi="Arial" w:cs="Arial"/>
          <w:sz w:val="20"/>
          <w:szCs w:val="20"/>
        </w:rPr>
      </w:pPr>
      <w:r w:rsidRPr="005043B9">
        <w:rPr>
          <w:rFonts w:ascii="Arial" w:eastAsiaTheme="minorHAnsi" w:hAnsi="Arial" w:cs="Arial"/>
          <w:sz w:val="20"/>
          <w:szCs w:val="20"/>
        </w:rPr>
        <w:t xml:space="preserve">In-month non-pay is over spent by (£12k) and under spent YTD by £68k primarily on clinicals supplies. </w:t>
      </w:r>
      <w:r w:rsidR="0045624B" w:rsidRPr="0045624B">
        <w:rPr>
          <w:rFonts w:ascii="Arial" w:eastAsiaTheme="minorHAnsi" w:hAnsi="Arial" w:cs="Arial"/>
          <w:sz w:val="20"/>
          <w:szCs w:val="20"/>
        </w:rPr>
        <w:t xml:space="preserve"> </w:t>
      </w:r>
    </w:p>
    <w:p w14:paraId="6DCC159F" w14:textId="77777777" w:rsidR="001A688A" w:rsidRDefault="001A688A" w:rsidP="00FE10AF">
      <w:pPr>
        <w:jc w:val="both"/>
        <w:rPr>
          <w:rFonts w:ascii="Arial" w:eastAsiaTheme="minorHAnsi" w:hAnsi="Arial" w:cs="Arial"/>
          <w:b/>
          <w:sz w:val="20"/>
          <w:szCs w:val="20"/>
        </w:rPr>
      </w:pPr>
    </w:p>
    <w:p w14:paraId="0D03C409" w14:textId="77777777" w:rsidR="001A688A" w:rsidRDefault="001A688A">
      <w:pPr>
        <w:spacing w:after="0" w:line="240" w:lineRule="auto"/>
        <w:rPr>
          <w:rFonts w:ascii="Arial" w:hAnsi="Arial" w:cs="Arial"/>
          <w:b/>
          <w:sz w:val="24"/>
          <w:szCs w:val="24"/>
        </w:rPr>
      </w:pPr>
      <w:r>
        <w:rPr>
          <w:rFonts w:ascii="Arial" w:hAnsi="Arial" w:cs="Arial"/>
          <w:b/>
          <w:sz w:val="24"/>
          <w:szCs w:val="24"/>
        </w:rPr>
        <w:br w:type="page"/>
      </w:r>
    </w:p>
    <w:p w14:paraId="6EB4A4D1" w14:textId="23CD10A1" w:rsidR="00512A4D" w:rsidRDefault="00512A4D" w:rsidP="00512A4D">
      <w:pPr>
        <w:pStyle w:val="ListParagraph"/>
        <w:numPr>
          <w:ilvl w:val="0"/>
          <w:numId w:val="17"/>
        </w:numPr>
        <w:spacing w:before="240"/>
        <w:jc w:val="both"/>
        <w:rPr>
          <w:rFonts w:ascii="Arial" w:hAnsi="Arial" w:cs="Arial"/>
          <w:b/>
          <w:sz w:val="24"/>
          <w:szCs w:val="24"/>
        </w:rPr>
      </w:pPr>
      <w:r>
        <w:rPr>
          <w:rFonts w:ascii="Arial" w:hAnsi="Arial" w:cs="Arial"/>
          <w:b/>
          <w:sz w:val="24"/>
          <w:szCs w:val="24"/>
        </w:rPr>
        <w:lastRenderedPageBreak/>
        <w:t>BALANCE SHEET</w:t>
      </w:r>
    </w:p>
    <w:p w14:paraId="2323D39F" w14:textId="3F031740" w:rsidR="00917D4B" w:rsidRPr="00857497" w:rsidRDefault="00917D4B" w:rsidP="00AD2AFC">
      <w:pPr>
        <w:pStyle w:val="ListParagraph"/>
        <w:numPr>
          <w:ilvl w:val="1"/>
          <w:numId w:val="17"/>
        </w:numPr>
        <w:jc w:val="both"/>
        <w:rPr>
          <w:rFonts w:ascii="Arial" w:hAnsi="Arial" w:cs="Arial"/>
          <w:b/>
          <w:sz w:val="20"/>
          <w:szCs w:val="20"/>
        </w:rPr>
      </w:pPr>
      <w:r w:rsidRPr="00857497">
        <w:rPr>
          <w:rFonts w:ascii="Arial" w:hAnsi="Arial" w:cs="Arial"/>
          <w:b/>
          <w:sz w:val="20"/>
          <w:szCs w:val="20"/>
        </w:rPr>
        <w:t xml:space="preserve">Trust balance sheet at </w:t>
      </w:r>
      <w:r w:rsidR="00923B2F">
        <w:rPr>
          <w:rFonts w:ascii="Arial" w:hAnsi="Arial" w:cs="Arial"/>
          <w:b/>
          <w:sz w:val="20"/>
          <w:szCs w:val="20"/>
        </w:rPr>
        <w:t>3</w:t>
      </w:r>
      <w:r w:rsidR="00782CAE">
        <w:rPr>
          <w:rFonts w:ascii="Arial" w:hAnsi="Arial" w:cs="Arial"/>
          <w:b/>
          <w:sz w:val="20"/>
          <w:szCs w:val="20"/>
        </w:rPr>
        <w:t>1 October</w:t>
      </w:r>
      <w:r w:rsidR="00EB29CC">
        <w:rPr>
          <w:rFonts w:ascii="Arial" w:hAnsi="Arial" w:cs="Arial"/>
          <w:b/>
          <w:sz w:val="20"/>
          <w:szCs w:val="20"/>
        </w:rPr>
        <w:t xml:space="preserve"> </w:t>
      </w:r>
      <w:r w:rsidR="0059213C" w:rsidRPr="00857497">
        <w:rPr>
          <w:rFonts w:ascii="Arial" w:hAnsi="Arial" w:cs="Arial"/>
          <w:b/>
          <w:sz w:val="20"/>
          <w:szCs w:val="20"/>
        </w:rPr>
        <w:t>201</w:t>
      </w:r>
      <w:r w:rsidR="00C87466">
        <w:rPr>
          <w:rFonts w:ascii="Arial" w:hAnsi="Arial" w:cs="Arial"/>
          <w:b/>
          <w:sz w:val="20"/>
          <w:szCs w:val="20"/>
        </w:rPr>
        <w:t>9</w:t>
      </w:r>
    </w:p>
    <w:p w14:paraId="307A519B" w14:textId="16211BD1" w:rsidR="00917D4B" w:rsidRPr="000420F5" w:rsidRDefault="00782CAE" w:rsidP="00917D4B">
      <w:pPr>
        <w:jc w:val="center"/>
        <w:rPr>
          <w:rFonts w:ascii="Arial" w:hAnsi="Arial" w:cs="Arial"/>
        </w:rPr>
      </w:pPr>
      <w:r w:rsidRPr="00782CAE">
        <w:rPr>
          <w:noProof/>
        </w:rPr>
        <w:drawing>
          <wp:inline distT="0" distB="0" distL="0" distR="0" wp14:anchorId="08288CF8" wp14:editId="72ABDFFA">
            <wp:extent cx="5943600" cy="5725920"/>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5725920"/>
                    </a:xfrm>
                    <a:prstGeom prst="rect">
                      <a:avLst/>
                    </a:prstGeom>
                    <a:noFill/>
                    <a:ln>
                      <a:noFill/>
                    </a:ln>
                  </pic:spPr>
                </pic:pic>
              </a:graphicData>
            </a:graphic>
          </wp:inline>
        </w:drawing>
      </w:r>
    </w:p>
    <w:p w14:paraId="7431CF01" w14:textId="5224754D" w:rsidR="00061621" w:rsidRDefault="00061621">
      <w:pPr>
        <w:spacing w:after="0" w:line="240" w:lineRule="auto"/>
        <w:rPr>
          <w:rFonts w:ascii="Arial" w:hAnsi="Arial" w:cs="Arial"/>
          <w:b/>
          <w:sz w:val="20"/>
          <w:szCs w:val="20"/>
        </w:rPr>
      </w:pPr>
      <w:r>
        <w:rPr>
          <w:rFonts w:ascii="Arial" w:hAnsi="Arial" w:cs="Arial"/>
          <w:b/>
          <w:sz w:val="20"/>
          <w:szCs w:val="20"/>
        </w:rPr>
        <w:br w:type="page"/>
      </w:r>
    </w:p>
    <w:p w14:paraId="5BB4EA6E" w14:textId="77777777" w:rsidR="00911B13" w:rsidRDefault="00911B13" w:rsidP="00917D4B">
      <w:pPr>
        <w:jc w:val="both"/>
        <w:rPr>
          <w:rFonts w:ascii="Arial" w:hAnsi="Arial" w:cs="Arial"/>
          <w:b/>
          <w:sz w:val="20"/>
          <w:szCs w:val="20"/>
        </w:rPr>
      </w:pPr>
    </w:p>
    <w:p w14:paraId="1C3C202A" w14:textId="7B02346B" w:rsidR="00917D4B" w:rsidRPr="00AD2AFC" w:rsidRDefault="00917D4B" w:rsidP="00AD2AFC">
      <w:pPr>
        <w:pStyle w:val="ListParagraph"/>
        <w:numPr>
          <w:ilvl w:val="1"/>
          <w:numId w:val="17"/>
        </w:numPr>
        <w:jc w:val="both"/>
        <w:rPr>
          <w:rFonts w:ascii="Arial" w:hAnsi="Arial" w:cs="Arial"/>
          <w:b/>
          <w:sz w:val="20"/>
          <w:szCs w:val="20"/>
        </w:rPr>
      </w:pPr>
      <w:r w:rsidRPr="00AD2AFC">
        <w:rPr>
          <w:rFonts w:ascii="Arial" w:hAnsi="Arial" w:cs="Arial"/>
          <w:b/>
          <w:sz w:val="20"/>
          <w:szCs w:val="20"/>
        </w:rPr>
        <w:t>Balance sheet comments</w:t>
      </w: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
        <w:gridCol w:w="1398"/>
        <w:gridCol w:w="6984"/>
      </w:tblGrid>
      <w:tr w:rsidR="006515F7" w:rsidRPr="000420F5" w14:paraId="6362015C" w14:textId="77777777" w:rsidTr="004C1F1D">
        <w:tc>
          <w:tcPr>
            <w:tcW w:w="1516" w:type="dxa"/>
          </w:tcPr>
          <w:p w14:paraId="49AAAA7F" w14:textId="77777777" w:rsidR="006515F7" w:rsidRPr="000420F5" w:rsidRDefault="006515F7" w:rsidP="004C1F1D">
            <w:pPr>
              <w:jc w:val="center"/>
              <w:rPr>
                <w:rFonts w:ascii="Arial" w:hAnsi="Arial" w:cs="Arial"/>
                <w:b/>
                <w:sz w:val="20"/>
                <w:szCs w:val="20"/>
              </w:rPr>
            </w:pPr>
          </w:p>
        </w:tc>
        <w:tc>
          <w:tcPr>
            <w:tcW w:w="1398" w:type="dxa"/>
          </w:tcPr>
          <w:p w14:paraId="335BAFAA" w14:textId="036C99F6" w:rsidR="006515F7" w:rsidRDefault="006515F7" w:rsidP="004C1F1D">
            <w:pPr>
              <w:spacing w:after="0"/>
              <w:jc w:val="center"/>
              <w:rPr>
                <w:rFonts w:ascii="Arial" w:hAnsi="Arial" w:cs="Arial"/>
                <w:b/>
                <w:sz w:val="20"/>
                <w:szCs w:val="20"/>
              </w:rPr>
            </w:pPr>
            <w:r w:rsidRPr="000420F5">
              <w:rPr>
                <w:rFonts w:ascii="Arial" w:hAnsi="Arial" w:cs="Arial"/>
                <w:b/>
                <w:sz w:val="20"/>
                <w:szCs w:val="20"/>
              </w:rPr>
              <w:t>M</w:t>
            </w:r>
            <w:r w:rsidR="007144D7">
              <w:rPr>
                <w:rFonts w:ascii="Arial" w:hAnsi="Arial" w:cs="Arial"/>
                <w:b/>
                <w:sz w:val="20"/>
                <w:szCs w:val="20"/>
              </w:rPr>
              <w:t>0</w:t>
            </w:r>
            <w:r w:rsidR="00BF0C85">
              <w:rPr>
                <w:rFonts w:ascii="Arial" w:hAnsi="Arial" w:cs="Arial"/>
                <w:b/>
                <w:sz w:val="20"/>
                <w:szCs w:val="20"/>
              </w:rPr>
              <w:t>7</w:t>
            </w:r>
            <w:r w:rsidR="004D5522">
              <w:rPr>
                <w:rFonts w:ascii="Arial" w:hAnsi="Arial" w:cs="Arial"/>
                <w:b/>
                <w:sz w:val="20"/>
                <w:szCs w:val="20"/>
              </w:rPr>
              <w:t xml:space="preserve"> vs.</w:t>
            </w:r>
          </w:p>
          <w:p w14:paraId="3D46651B" w14:textId="5A017593" w:rsidR="006515F7" w:rsidRPr="000420F5" w:rsidRDefault="006515F7" w:rsidP="00C414D8">
            <w:pPr>
              <w:spacing w:after="0"/>
              <w:jc w:val="center"/>
              <w:rPr>
                <w:rFonts w:ascii="Arial" w:hAnsi="Arial" w:cs="Arial"/>
                <w:b/>
                <w:sz w:val="20"/>
                <w:szCs w:val="20"/>
              </w:rPr>
            </w:pPr>
            <w:r w:rsidRPr="000420F5">
              <w:rPr>
                <w:rFonts w:ascii="Arial" w:hAnsi="Arial" w:cs="Arial"/>
                <w:b/>
                <w:sz w:val="20"/>
                <w:szCs w:val="20"/>
              </w:rPr>
              <w:t xml:space="preserve"> </w:t>
            </w:r>
            <w:r w:rsidR="00C414D8">
              <w:rPr>
                <w:rFonts w:ascii="Arial" w:hAnsi="Arial" w:cs="Arial"/>
                <w:b/>
                <w:sz w:val="20"/>
                <w:szCs w:val="20"/>
              </w:rPr>
              <w:t>(M</w:t>
            </w:r>
            <w:r w:rsidR="007144D7">
              <w:rPr>
                <w:rFonts w:ascii="Arial" w:hAnsi="Arial" w:cs="Arial"/>
                <w:b/>
                <w:sz w:val="20"/>
                <w:szCs w:val="20"/>
              </w:rPr>
              <w:t>0</w:t>
            </w:r>
            <w:r w:rsidR="00BF0C85">
              <w:rPr>
                <w:rFonts w:ascii="Arial" w:hAnsi="Arial" w:cs="Arial"/>
                <w:b/>
                <w:sz w:val="20"/>
                <w:szCs w:val="20"/>
              </w:rPr>
              <w:t>6</w:t>
            </w:r>
            <w:r w:rsidR="00C414D8">
              <w:rPr>
                <w:rFonts w:ascii="Arial" w:hAnsi="Arial" w:cs="Arial"/>
                <w:b/>
                <w:sz w:val="20"/>
                <w:szCs w:val="20"/>
              </w:rPr>
              <w:t>)</w:t>
            </w:r>
          </w:p>
        </w:tc>
        <w:tc>
          <w:tcPr>
            <w:tcW w:w="6984" w:type="dxa"/>
          </w:tcPr>
          <w:p w14:paraId="50A19F1D" w14:textId="77777777" w:rsidR="006515F7" w:rsidRPr="000420F5" w:rsidRDefault="006515F7" w:rsidP="004C1F1D">
            <w:pPr>
              <w:jc w:val="both"/>
              <w:rPr>
                <w:rFonts w:ascii="Arial" w:hAnsi="Arial" w:cs="Arial"/>
                <w:b/>
                <w:sz w:val="20"/>
                <w:szCs w:val="20"/>
              </w:rPr>
            </w:pPr>
            <w:r w:rsidRPr="000420F5">
              <w:rPr>
                <w:rFonts w:ascii="Arial" w:hAnsi="Arial" w:cs="Arial"/>
                <w:b/>
                <w:sz w:val="20"/>
                <w:szCs w:val="20"/>
              </w:rPr>
              <w:t>Commentary</w:t>
            </w:r>
          </w:p>
        </w:tc>
      </w:tr>
      <w:tr w:rsidR="006515F7" w:rsidRPr="000420F5" w14:paraId="3E1EB574" w14:textId="77777777" w:rsidTr="004C1F1D">
        <w:trPr>
          <w:trHeight w:val="918"/>
        </w:trPr>
        <w:tc>
          <w:tcPr>
            <w:tcW w:w="1516" w:type="dxa"/>
          </w:tcPr>
          <w:p w14:paraId="41DB20DB" w14:textId="77777777" w:rsidR="006515F7" w:rsidRPr="000420F5" w:rsidRDefault="006515F7" w:rsidP="004C1F1D">
            <w:pPr>
              <w:spacing w:after="0"/>
              <w:jc w:val="center"/>
              <w:rPr>
                <w:rFonts w:ascii="Arial" w:hAnsi="Arial" w:cs="Arial"/>
                <w:b/>
                <w:sz w:val="20"/>
                <w:szCs w:val="20"/>
              </w:rPr>
            </w:pPr>
            <w:r w:rsidRPr="000420F5">
              <w:rPr>
                <w:rFonts w:ascii="Arial" w:hAnsi="Arial" w:cs="Arial"/>
                <w:b/>
                <w:sz w:val="20"/>
                <w:szCs w:val="20"/>
              </w:rPr>
              <w:t>Cash</w:t>
            </w:r>
          </w:p>
          <w:p w14:paraId="0E8843C2" w14:textId="09406557" w:rsidR="006515F7" w:rsidRPr="000420F5" w:rsidRDefault="006515F7" w:rsidP="004C1F1D">
            <w:pPr>
              <w:spacing w:after="0"/>
              <w:jc w:val="center"/>
              <w:rPr>
                <w:rFonts w:ascii="Arial" w:hAnsi="Arial" w:cs="Arial"/>
                <w:b/>
                <w:sz w:val="20"/>
                <w:szCs w:val="20"/>
              </w:rPr>
            </w:pPr>
            <w:r w:rsidRPr="000420F5">
              <w:rPr>
                <w:rFonts w:ascii="Arial" w:hAnsi="Arial" w:cs="Arial"/>
                <w:b/>
                <w:sz w:val="20"/>
                <w:szCs w:val="20"/>
              </w:rPr>
              <w:t xml:space="preserve">(Annex </w:t>
            </w:r>
            <w:r w:rsidR="001E0819">
              <w:rPr>
                <w:rFonts w:ascii="Arial" w:hAnsi="Arial" w:cs="Arial"/>
                <w:b/>
                <w:sz w:val="20"/>
                <w:szCs w:val="20"/>
              </w:rPr>
              <w:t>F</w:t>
            </w:r>
            <w:r w:rsidRPr="000420F5">
              <w:rPr>
                <w:rFonts w:ascii="Arial" w:hAnsi="Arial" w:cs="Arial"/>
                <w:b/>
                <w:sz w:val="20"/>
                <w:szCs w:val="20"/>
              </w:rPr>
              <w:t>)</w:t>
            </w:r>
          </w:p>
        </w:tc>
        <w:tc>
          <w:tcPr>
            <w:tcW w:w="1398" w:type="dxa"/>
          </w:tcPr>
          <w:p w14:paraId="1C9C26EC" w14:textId="1F341F6C" w:rsidR="006515F7" w:rsidRPr="000420F5" w:rsidRDefault="006515F7" w:rsidP="004C1F1D">
            <w:pPr>
              <w:spacing w:after="0" w:line="240" w:lineRule="auto"/>
              <w:jc w:val="center"/>
              <w:rPr>
                <w:rFonts w:ascii="Arial" w:hAnsi="Arial" w:cs="Arial"/>
                <w:b/>
                <w:sz w:val="20"/>
                <w:szCs w:val="20"/>
              </w:rPr>
            </w:pPr>
            <w:r w:rsidRPr="000420F5">
              <w:rPr>
                <w:rFonts w:ascii="Arial" w:hAnsi="Arial" w:cs="Arial"/>
                <w:b/>
                <w:sz w:val="20"/>
                <w:szCs w:val="20"/>
              </w:rPr>
              <w:t>£</w:t>
            </w:r>
            <w:r w:rsidR="00993FBE">
              <w:rPr>
                <w:rFonts w:ascii="Arial" w:hAnsi="Arial" w:cs="Arial"/>
                <w:b/>
                <w:sz w:val="20"/>
                <w:szCs w:val="20"/>
              </w:rPr>
              <w:t>8.9</w:t>
            </w:r>
            <w:r w:rsidRPr="000420F5">
              <w:rPr>
                <w:rFonts w:ascii="Arial" w:hAnsi="Arial" w:cs="Arial"/>
                <w:b/>
                <w:sz w:val="20"/>
                <w:szCs w:val="20"/>
              </w:rPr>
              <w:t>m</w:t>
            </w:r>
          </w:p>
          <w:p w14:paraId="2D8DDD1D" w14:textId="4E99B63E" w:rsidR="006515F7" w:rsidRPr="000420F5" w:rsidRDefault="006515F7" w:rsidP="004C1F1D">
            <w:pPr>
              <w:spacing w:after="0" w:line="240" w:lineRule="auto"/>
              <w:jc w:val="center"/>
              <w:rPr>
                <w:rFonts w:ascii="Arial" w:hAnsi="Arial" w:cs="Arial"/>
                <w:b/>
                <w:sz w:val="20"/>
                <w:szCs w:val="20"/>
              </w:rPr>
            </w:pPr>
            <w:r w:rsidRPr="000420F5">
              <w:rPr>
                <w:rFonts w:ascii="Arial" w:hAnsi="Arial" w:cs="Arial"/>
                <w:b/>
                <w:sz w:val="20"/>
                <w:szCs w:val="20"/>
              </w:rPr>
              <w:t>(£</w:t>
            </w:r>
            <w:r w:rsidR="00132CC2">
              <w:rPr>
                <w:rFonts w:ascii="Arial" w:hAnsi="Arial" w:cs="Arial"/>
                <w:b/>
                <w:sz w:val="20"/>
                <w:szCs w:val="20"/>
              </w:rPr>
              <w:t>1</w:t>
            </w:r>
            <w:r w:rsidR="00993FBE">
              <w:rPr>
                <w:rFonts w:ascii="Arial" w:hAnsi="Arial" w:cs="Arial"/>
                <w:b/>
                <w:sz w:val="20"/>
                <w:szCs w:val="20"/>
              </w:rPr>
              <w:t>3.2</w:t>
            </w:r>
            <w:r w:rsidRPr="000420F5">
              <w:rPr>
                <w:rFonts w:ascii="Arial" w:hAnsi="Arial" w:cs="Arial"/>
                <w:b/>
                <w:sz w:val="20"/>
                <w:szCs w:val="20"/>
              </w:rPr>
              <w:t>m)</w:t>
            </w:r>
          </w:p>
          <w:p w14:paraId="36686FE9" w14:textId="77777777" w:rsidR="006515F7" w:rsidRPr="000420F5" w:rsidRDefault="006515F7" w:rsidP="004C1F1D">
            <w:pPr>
              <w:spacing w:after="0" w:line="240" w:lineRule="auto"/>
              <w:jc w:val="center"/>
              <w:rPr>
                <w:rFonts w:ascii="Arial" w:hAnsi="Arial" w:cs="Arial"/>
                <w:b/>
                <w:sz w:val="20"/>
                <w:szCs w:val="20"/>
              </w:rPr>
            </w:pPr>
          </w:p>
        </w:tc>
        <w:tc>
          <w:tcPr>
            <w:tcW w:w="6984" w:type="dxa"/>
          </w:tcPr>
          <w:p w14:paraId="16584B35" w14:textId="570460C6" w:rsidR="006515F7" w:rsidRDefault="006515F7" w:rsidP="00391B31">
            <w:pPr>
              <w:spacing w:after="120"/>
              <w:jc w:val="both"/>
              <w:rPr>
                <w:rFonts w:ascii="Arial" w:hAnsi="Arial" w:cs="Arial"/>
                <w:sz w:val="20"/>
                <w:szCs w:val="20"/>
              </w:rPr>
            </w:pPr>
            <w:r w:rsidRPr="000420F5">
              <w:rPr>
                <w:rFonts w:ascii="Arial" w:hAnsi="Arial" w:cs="Arial"/>
                <w:sz w:val="20"/>
                <w:szCs w:val="20"/>
              </w:rPr>
              <w:t>The cash level of £</w:t>
            </w:r>
            <w:r w:rsidR="00993FBE">
              <w:rPr>
                <w:rFonts w:ascii="Arial" w:hAnsi="Arial" w:cs="Arial"/>
                <w:sz w:val="20"/>
                <w:szCs w:val="20"/>
              </w:rPr>
              <w:t>8.9</w:t>
            </w:r>
            <w:r w:rsidRPr="000420F5">
              <w:rPr>
                <w:rFonts w:ascii="Arial" w:hAnsi="Arial" w:cs="Arial"/>
                <w:sz w:val="20"/>
                <w:szCs w:val="20"/>
              </w:rPr>
              <w:t xml:space="preserve">m at </w:t>
            </w:r>
            <w:r w:rsidR="002F3937">
              <w:rPr>
                <w:rFonts w:ascii="Arial" w:hAnsi="Arial" w:cs="Arial"/>
                <w:sz w:val="20"/>
                <w:szCs w:val="20"/>
              </w:rPr>
              <w:t>3</w:t>
            </w:r>
            <w:r w:rsidR="00993FBE">
              <w:rPr>
                <w:rFonts w:ascii="Arial" w:hAnsi="Arial" w:cs="Arial"/>
                <w:sz w:val="20"/>
                <w:szCs w:val="20"/>
              </w:rPr>
              <w:t>1 October</w:t>
            </w:r>
            <w:r w:rsidRPr="000420F5">
              <w:rPr>
                <w:rFonts w:ascii="Arial" w:hAnsi="Arial" w:cs="Arial"/>
                <w:sz w:val="20"/>
                <w:szCs w:val="20"/>
              </w:rPr>
              <w:t xml:space="preserve"> is equivalent to </w:t>
            </w:r>
            <w:r w:rsidR="00993FBE">
              <w:rPr>
                <w:rFonts w:ascii="Arial" w:hAnsi="Arial" w:cs="Arial"/>
                <w:sz w:val="20"/>
                <w:szCs w:val="20"/>
              </w:rPr>
              <w:t>7.7</w:t>
            </w:r>
            <w:r w:rsidRPr="000420F5">
              <w:rPr>
                <w:rFonts w:ascii="Arial" w:hAnsi="Arial" w:cs="Arial"/>
                <w:sz w:val="20"/>
                <w:szCs w:val="20"/>
              </w:rPr>
              <w:t xml:space="preserve"> days operating costs (</w:t>
            </w:r>
            <w:r>
              <w:rPr>
                <w:rFonts w:ascii="Arial" w:hAnsi="Arial" w:cs="Arial"/>
                <w:sz w:val="20"/>
                <w:szCs w:val="20"/>
              </w:rPr>
              <w:t>3</w:t>
            </w:r>
            <w:r w:rsidR="00993FBE">
              <w:rPr>
                <w:rFonts w:ascii="Arial" w:hAnsi="Arial" w:cs="Arial"/>
                <w:sz w:val="20"/>
                <w:szCs w:val="20"/>
              </w:rPr>
              <w:t>0</w:t>
            </w:r>
            <w:r w:rsidR="000F113B">
              <w:rPr>
                <w:rFonts w:ascii="Arial" w:hAnsi="Arial" w:cs="Arial"/>
                <w:sz w:val="20"/>
                <w:szCs w:val="20"/>
              </w:rPr>
              <w:t xml:space="preserve"> </w:t>
            </w:r>
            <w:r w:rsidR="00993FBE">
              <w:rPr>
                <w:rFonts w:ascii="Arial" w:hAnsi="Arial" w:cs="Arial"/>
                <w:sz w:val="20"/>
                <w:szCs w:val="20"/>
              </w:rPr>
              <w:t>September</w:t>
            </w:r>
            <w:r w:rsidRPr="000420F5">
              <w:rPr>
                <w:rFonts w:ascii="Arial" w:hAnsi="Arial" w:cs="Arial"/>
                <w:sz w:val="20"/>
                <w:szCs w:val="20"/>
              </w:rPr>
              <w:t xml:space="preserve">: </w:t>
            </w:r>
            <w:r w:rsidR="00594ECB">
              <w:rPr>
                <w:rFonts w:ascii="Arial" w:hAnsi="Arial" w:cs="Arial"/>
                <w:sz w:val="20"/>
                <w:szCs w:val="20"/>
              </w:rPr>
              <w:t>1</w:t>
            </w:r>
            <w:r w:rsidR="00993FBE">
              <w:rPr>
                <w:rFonts w:ascii="Arial" w:hAnsi="Arial" w:cs="Arial"/>
                <w:sz w:val="20"/>
                <w:szCs w:val="20"/>
              </w:rPr>
              <w:t>1.4</w:t>
            </w:r>
            <w:r w:rsidR="000F113B">
              <w:rPr>
                <w:rFonts w:ascii="Arial" w:hAnsi="Arial" w:cs="Arial"/>
                <w:sz w:val="20"/>
                <w:szCs w:val="20"/>
              </w:rPr>
              <w:t xml:space="preserve"> </w:t>
            </w:r>
            <w:r w:rsidRPr="000420F5">
              <w:rPr>
                <w:rFonts w:ascii="Arial" w:hAnsi="Arial" w:cs="Arial"/>
                <w:sz w:val="20"/>
                <w:szCs w:val="20"/>
              </w:rPr>
              <w:t>days) and represents a £</w:t>
            </w:r>
            <w:r w:rsidR="00BF0C85">
              <w:rPr>
                <w:rFonts w:ascii="Arial" w:hAnsi="Arial" w:cs="Arial"/>
                <w:sz w:val="20"/>
                <w:szCs w:val="20"/>
              </w:rPr>
              <w:t>4.3</w:t>
            </w:r>
            <w:r w:rsidR="0083327F">
              <w:rPr>
                <w:rFonts w:ascii="Arial" w:hAnsi="Arial" w:cs="Arial"/>
                <w:sz w:val="20"/>
                <w:szCs w:val="20"/>
              </w:rPr>
              <w:t>m</w:t>
            </w:r>
            <w:r w:rsidRPr="000420F5">
              <w:rPr>
                <w:rFonts w:ascii="Arial" w:hAnsi="Arial" w:cs="Arial"/>
                <w:sz w:val="20"/>
                <w:szCs w:val="20"/>
              </w:rPr>
              <w:t xml:space="preserve"> </w:t>
            </w:r>
            <w:r w:rsidR="00632EF3">
              <w:rPr>
                <w:rFonts w:ascii="Arial" w:hAnsi="Arial" w:cs="Arial"/>
                <w:sz w:val="20"/>
                <w:szCs w:val="20"/>
              </w:rPr>
              <w:t>dec</w:t>
            </w:r>
            <w:r w:rsidRPr="000420F5">
              <w:rPr>
                <w:rFonts w:ascii="Arial" w:hAnsi="Arial" w:cs="Arial"/>
                <w:sz w:val="20"/>
                <w:szCs w:val="20"/>
              </w:rPr>
              <w:t xml:space="preserve">rease from </w:t>
            </w:r>
            <w:r>
              <w:rPr>
                <w:rFonts w:ascii="Arial" w:hAnsi="Arial" w:cs="Arial"/>
                <w:sz w:val="20"/>
                <w:szCs w:val="20"/>
              </w:rPr>
              <w:t>3</w:t>
            </w:r>
            <w:r w:rsidR="00BF0C85">
              <w:rPr>
                <w:rFonts w:ascii="Arial" w:hAnsi="Arial" w:cs="Arial"/>
                <w:sz w:val="20"/>
                <w:szCs w:val="20"/>
              </w:rPr>
              <w:t>0 September</w:t>
            </w:r>
            <w:r w:rsidRPr="000420F5">
              <w:rPr>
                <w:rFonts w:ascii="Arial" w:hAnsi="Arial" w:cs="Arial"/>
                <w:sz w:val="20"/>
                <w:szCs w:val="20"/>
              </w:rPr>
              <w:t>.</w:t>
            </w:r>
            <w:r w:rsidR="00AD48F7">
              <w:rPr>
                <w:rFonts w:ascii="Arial" w:hAnsi="Arial" w:cs="Arial"/>
                <w:sz w:val="20"/>
                <w:szCs w:val="20"/>
              </w:rPr>
              <w:t xml:space="preserve"> The scale of this decrease is partly due to the £1.2m ITFF loan repayment and also</w:t>
            </w:r>
            <w:r w:rsidR="00665DF9">
              <w:rPr>
                <w:rFonts w:ascii="Arial" w:hAnsi="Arial" w:cs="Arial"/>
                <w:sz w:val="20"/>
                <w:szCs w:val="20"/>
              </w:rPr>
              <w:t xml:space="preserve"> </w:t>
            </w:r>
            <w:r w:rsidR="00C529F5">
              <w:rPr>
                <w:rFonts w:ascii="Arial" w:hAnsi="Arial" w:cs="Arial"/>
                <w:sz w:val="20"/>
                <w:szCs w:val="20"/>
              </w:rPr>
              <w:t>a scaling up of payments to Supply Chain.</w:t>
            </w:r>
          </w:p>
          <w:p w14:paraId="357E01FA" w14:textId="127C3197" w:rsidR="00BF0C85" w:rsidRPr="000420F5" w:rsidRDefault="00BF0C85" w:rsidP="00391B31">
            <w:pPr>
              <w:spacing w:after="120"/>
              <w:jc w:val="both"/>
              <w:rPr>
                <w:rFonts w:ascii="Arial" w:hAnsi="Arial" w:cs="Arial"/>
                <w:sz w:val="20"/>
                <w:szCs w:val="20"/>
              </w:rPr>
            </w:pPr>
            <w:r>
              <w:rPr>
                <w:rFonts w:ascii="Arial" w:hAnsi="Arial" w:cs="Arial"/>
                <w:sz w:val="20"/>
                <w:szCs w:val="20"/>
              </w:rPr>
              <w:t xml:space="preserve">To assist the cash position, the </w:t>
            </w:r>
            <w:r w:rsidR="005F4722">
              <w:rPr>
                <w:rFonts w:ascii="Arial" w:hAnsi="Arial" w:cs="Arial"/>
                <w:sz w:val="20"/>
                <w:szCs w:val="20"/>
              </w:rPr>
              <w:t xml:space="preserve">first </w:t>
            </w:r>
            <w:r>
              <w:rPr>
                <w:rFonts w:ascii="Arial" w:hAnsi="Arial" w:cs="Arial"/>
                <w:sz w:val="20"/>
                <w:szCs w:val="20"/>
              </w:rPr>
              <w:t>£10m</w:t>
            </w:r>
            <w:r w:rsidR="005F4722">
              <w:rPr>
                <w:rFonts w:ascii="Arial" w:hAnsi="Arial" w:cs="Arial"/>
                <w:sz w:val="20"/>
                <w:szCs w:val="20"/>
              </w:rPr>
              <w:t xml:space="preserve"> tranche of the £45m</w:t>
            </w:r>
            <w:r>
              <w:rPr>
                <w:rFonts w:ascii="Arial" w:hAnsi="Arial" w:cs="Arial"/>
                <w:sz w:val="20"/>
                <w:szCs w:val="20"/>
              </w:rPr>
              <w:t xml:space="preserve"> bridging loan in respect of the Imaging Centre has been drawn down in November.</w:t>
            </w:r>
          </w:p>
        </w:tc>
      </w:tr>
      <w:tr w:rsidR="006515F7" w:rsidRPr="000420F5" w14:paraId="055CAB48" w14:textId="77777777" w:rsidTr="004C1F1D">
        <w:tc>
          <w:tcPr>
            <w:tcW w:w="1516" w:type="dxa"/>
          </w:tcPr>
          <w:p w14:paraId="0F265DD1" w14:textId="396B1AE7" w:rsidR="006515F7" w:rsidRPr="000420F5" w:rsidRDefault="00E26FE7" w:rsidP="004C1F1D">
            <w:pPr>
              <w:spacing w:after="0"/>
              <w:jc w:val="center"/>
              <w:rPr>
                <w:rFonts w:ascii="Arial" w:hAnsi="Arial" w:cs="Arial"/>
                <w:b/>
                <w:sz w:val="20"/>
                <w:szCs w:val="20"/>
              </w:rPr>
            </w:pPr>
            <w:r>
              <w:br w:type="page"/>
            </w:r>
            <w:r w:rsidR="006515F7">
              <w:rPr>
                <w:rFonts w:ascii="Arial" w:hAnsi="Arial" w:cs="Arial"/>
                <w:b/>
                <w:sz w:val="20"/>
                <w:szCs w:val="20"/>
              </w:rPr>
              <w:t xml:space="preserve">Loan </w:t>
            </w:r>
            <w:r w:rsidR="006515F7" w:rsidRPr="000420F5">
              <w:rPr>
                <w:rFonts w:ascii="Arial" w:hAnsi="Arial" w:cs="Arial"/>
                <w:b/>
                <w:sz w:val="20"/>
                <w:szCs w:val="20"/>
              </w:rPr>
              <w:t>Borrowing</w:t>
            </w:r>
            <w:r w:rsidR="006515F7">
              <w:rPr>
                <w:rFonts w:ascii="Arial" w:hAnsi="Arial" w:cs="Arial"/>
                <w:b/>
                <w:sz w:val="20"/>
                <w:szCs w:val="20"/>
              </w:rPr>
              <w:t>s</w:t>
            </w:r>
          </w:p>
        </w:tc>
        <w:tc>
          <w:tcPr>
            <w:tcW w:w="1398" w:type="dxa"/>
          </w:tcPr>
          <w:p w14:paraId="4DE9D345" w14:textId="35E223C4" w:rsidR="006515F7" w:rsidRPr="000420F5" w:rsidRDefault="006515F7" w:rsidP="004C1F1D">
            <w:pPr>
              <w:spacing w:after="0" w:line="240" w:lineRule="auto"/>
              <w:jc w:val="center"/>
              <w:rPr>
                <w:rFonts w:ascii="Arial" w:hAnsi="Arial" w:cs="Arial"/>
                <w:b/>
                <w:sz w:val="20"/>
                <w:szCs w:val="20"/>
              </w:rPr>
            </w:pPr>
            <w:r w:rsidRPr="000420F5">
              <w:rPr>
                <w:rFonts w:ascii="Arial" w:hAnsi="Arial" w:cs="Arial"/>
                <w:b/>
                <w:sz w:val="20"/>
                <w:szCs w:val="20"/>
              </w:rPr>
              <w:t>£</w:t>
            </w:r>
            <w:r w:rsidR="00B27B81">
              <w:rPr>
                <w:rFonts w:ascii="Arial" w:hAnsi="Arial" w:cs="Arial"/>
                <w:b/>
                <w:sz w:val="20"/>
                <w:szCs w:val="20"/>
              </w:rPr>
              <w:t>4</w:t>
            </w:r>
            <w:r w:rsidR="00BF0C85">
              <w:rPr>
                <w:rFonts w:ascii="Arial" w:hAnsi="Arial" w:cs="Arial"/>
                <w:b/>
                <w:sz w:val="20"/>
                <w:szCs w:val="20"/>
              </w:rPr>
              <w:t>5.1</w:t>
            </w:r>
            <w:r w:rsidRPr="000420F5">
              <w:rPr>
                <w:rFonts w:ascii="Arial" w:hAnsi="Arial" w:cs="Arial"/>
                <w:b/>
                <w:sz w:val="20"/>
                <w:szCs w:val="20"/>
              </w:rPr>
              <w:t>m</w:t>
            </w:r>
          </w:p>
          <w:p w14:paraId="1E5AEEB0" w14:textId="2179E5EF" w:rsidR="006515F7" w:rsidRPr="000420F5" w:rsidRDefault="006515F7" w:rsidP="00CC1DCD">
            <w:pPr>
              <w:spacing w:after="0" w:line="240" w:lineRule="auto"/>
              <w:jc w:val="center"/>
              <w:rPr>
                <w:rFonts w:ascii="Arial" w:hAnsi="Arial" w:cs="Arial"/>
                <w:b/>
                <w:sz w:val="20"/>
                <w:szCs w:val="20"/>
              </w:rPr>
            </w:pPr>
            <w:r w:rsidRPr="000420F5">
              <w:rPr>
                <w:rFonts w:ascii="Arial" w:hAnsi="Arial" w:cs="Arial"/>
                <w:b/>
                <w:sz w:val="20"/>
                <w:szCs w:val="20"/>
              </w:rPr>
              <w:t>(£</w:t>
            </w:r>
            <w:r w:rsidR="005813A3">
              <w:rPr>
                <w:rFonts w:ascii="Arial" w:hAnsi="Arial" w:cs="Arial"/>
                <w:b/>
                <w:sz w:val="20"/>
                <w:szCs w:val="20"/>
              </w:rPr>
              <w:t>4</w:t>
            </w:r>
            <w:r w:rsidR="00243881">
              <w:rPr>
                <w:rFonts w:ascii="Arial" w:hAnsi="Arial" w:cs="Arial"/>
                <w:b/>
                <w:sz w:val="20"/>
                <w:szCs w:val="20"/>
              </w:rPr>
              <w:t>6.</w:t>
            </w:r>
            <w:r w:rsidR="00BF0C85">
              <w:rPr>
                <w:rFonts w:ascii="Arial" w:hAnsi="Arial" w:cs="Arial"/>
                <w:b/>
                <w:sz w:val="20"/>
                <w:szCs w:val="20"/>
              </w:rPr>
              <w:t>7</w:t>
            </w:r>
            <w:r w:rsidRPr="000420F5">
              <w:rPr>
                <w:rFonts w:ascii="Arial" w:hAnsi="Arial" w:cs="Arial"/>
                <w:b/>
                <w:sz w:val="20"/>
                <w:szCs w:val="20"/>
              </w:rPr>
              <w:t>m)</w:t>
            </w:r>
          </w:p>
        </w:tc>
        <w:tc>
          <w:tcPr>
            <w:tcW w:w="6984" w:type="dxa"/>
          </w:tcPr>
          <w:p w14:paraId="218389A4" w14:textId="152C9E9A" w:rsidR="006515F7" w:rsidRPr="000420F5" w:rsidRDefault="006515F7" w:rsidP="004C1F1D">
            <w:pPr>
              <w:spacing w:after="120"/>
              <w:jc w:val="both"/>
              <w:rPr>
                <w:rFonts w:ascii="Arial" w:hAnsi="Arial" w:cs="Arial"/>
                <w:sz w:val="20"/>
                <w:szCs w:val="20"/>
              </w:rPr>
            </w:pPr>
            <w:r w:rsidRPr="000420F5">
              <w:rPr>
                <w:rFonts w:ascii="Arial" w:hAnsi="Arial" w:cs="Arial"/>
                <w:sz w:val="20"/>
                <w:szCs w:val="20"/>
              </w:rPr>
              <w:t>Total ITFF borrowing is now £</w:t>
            </w:r>
            <w:r w:rsidR="00BF0C85">
              <w:rPr>
                <w:rFonts w:ascii="Arial" w:hAnsi="Arial" w:cs="Arial"/>
                <w:sz w:val="20"/>
                <w:szCs w:val="20"/>
              </w:rPr>
              <w:t>39</w:t>
            </w:r>
            <w:r w:rsidR="006B467B">
              <w:rPr>
                <w:rFonts w:ascii="Arial" w:hAnsi="Arial" w:cs="Arial"/>
                <w:sz w:val="20"/>
                <w:szCs w:val="20"/>
              </w:rPr>
              <w:t>.</w:t>
            </w:r>
            <w:r w:rsidR="00BF0C85">
              <w:rPr>
                <w:rFonts w:ascii="Arial" w:hAnsi="Arial" w:cs="Arial"/>
                <w:sz w:val="20"/>
                <w:szCs w:val="20"/>
              </w:rPr>
              <w:t>29</w:t>
            </w:r>
            <w:r w:rsidR="00302229">
              <w:rPr>
                <w:rFonts w:ascii="Arial" w:hAnsi="Arial" w:cs="Arial"/>
                <w:sz w:val="20"/>
                <w:szCs w:val="20"/>
              </w:rPr>
              <w:t xml:space="preserve">m after </w:t>
            </w:r>
            <w:r w:rsidR="00637149">
              <w:rPr>
                <w:rFonts w:ascii="Arial" w:hAnsi="Arial" w:cs="Arial"/>
                <w:sz w:val="20"/>
                <w:szCs w:val="20"/>
              </w:rPr>
              <w:t xml:space="preserve">further </w:t>
            </w:r>
            <w:r w:rsidR="00E24379">
              <w:rPr>
                <w:rFonts w:ascii="Arial" w:hAnsi="Arial" w:cs="Arial"/>
                <w:sz w:val="20"/>
                <w:szCs w:val="20"/>
              </w:rPr>
              <w:t>re</w:t>
            </w:r>
            <w:r w:rsidR="00302229">
              <w:rPr>
                <w:rFonts w:ascii="Arial" w:hAnsi="Arial" w:cs="Arial"/>
                <w:sz w:val="20"/>
                <w:szCs w:val="20"/>
              </w:rPr>
              <w:t>payment</w:t>
            </w:r>
            <w:r w:rsidR="006B467B">
              <w:rPr>
                <w:rFonts w:ascii="Arial" w:hAnsi="Arial" w:cs="Arial"/>
                <w:sz w:val="20"/>
                <w:szCs w:val="20"/>
              </w:rPr>
              <w:t>s</w:t>
            </w:r>
            <w:r w:rsidR="00696032">
              <w:rPr>
                <w:rFonts w:ascii="Arial" w:hAnsi="Arial" w:cs="Arial"/>
                <w:sz w:val="20"/>
                <w:szCs w:val="20"/>
              </w:rPr>
              <w:t xml:space="preserve"> </w:t>
            </w:r>
            <w:r w:rsidR="00302229">
              <w:rPr>
                <w:rFonts w:ascii="Arial" w:hAnsi="Arial" w:cs="Arial"/>
                <w:sz w:val="20"/>
                <w:szCs w:val="20"/>
              </w:rPr>
              <w:t xml:space="preserve">in </w:t>
            </w:r>
            <w:r w:rsidR="00696032">
              <w:rPr>
                <w:rFonts w:ascii="Arial" w:hAnsi="Arial" w:cs="Arial"/>
                <w:sz w:val="20"/>
                <w:szCs w:val="20"/>
              </w:rPr>
              <w:t>April</w:t>
            </w:r>
            <w:r w:rsidR="00BF0C85">
              <w:rPr>
                <w:rFonts w:ascii="Arial" w:hAnsi="Arial" w:cs="Arial"/>
                <w:sz w:val="20"/>
                <w:szCs w:val="20"/>
              </w:rPr>
              <w:t xml:space="preserve">, </w:t>
            </w:r>
            <w:r w:rsidR="006B467B">
              <w:rPr>
                <w:rFonts w:ascii="Arial" w:hAnsi="Arial" w:cs="Arial"/>
                <w:sz w:val="20"/>
                <w:szCs w:val="20"/>
              </w:rPr>
              <w:t>June</w:t>
            </w:r>
            <w:r w:rsidR="00BF0C85">
              <w:rPr>
                <w:rFonts w:ascii="Arial" w:hAnsi="Arial" w:cs="Arial"/>
                <w:sz w:val="20"/>
                <w:szCs w:val="20"/>
              </w:rPr>
              <w:t xml:space="preserve"> and October.</w:t>
            </w:r>
            <w:r w:rsidR="00637149">
              <w:rPr>
                <w:rFonts w:ascii="Arial" w:hAnsi="Arial" w:cs="Arial"/>
                <w:sz w:val="20"/>
                <w:szCs w:val="20"/>
              </w:rPr>
              <w:t xml:space="preserve"> Following the implementation of IFRS 9, accrued interest is now included within this loan principal figure.</w:t>
            </w:r>
          </w:p>
          <w:p w14:paraId="4E4418CB" w14:textId="77DB0FEC" w:rsidR="006515F7" w:rsidRDefault="006515F7" w:rsidP="004C1F1D">
            <w:pPr>
              <w:spacing w:after="120"/>
              <w:jc w:val="both"/>
              <w:rPr>
                <w:rFonts w:ascii="Arial" w:hAnsi="Arial" w:cs="Arial"/>
                <w:sz w:val="20"/>
                <w:szCs w:val="20"/>
              </w:rPr>
            </w:pPr>
            <w:r w:rsidRPr="000420F5">
              <w:rPr>
                <w:rFonts w:ascii="Arial" w:hAnsi="Arial" w:cs="Arial"/>
                <w:sz w:val="20"/>
                <w:szCs w:val="20"/>
              </w:rPr>
              <w:t xml:space="preserve">Monthly repayments on the loan </w:t>
            </w:r>
            <w:r>
              <w:rPr>
                <w:rFonts w:ascii="Arial" w:hAnsi="Arial" w:cs="Arial"/>
                <w:sz w:val="20"/>
                <w:szCs w:val="20"/>
              </w:rPr>
              <w:t>for Wimpole Street continue,</w:t>
            </w:r>
            <w:r w:rsidRPr="000420F5">
              <w:rPr>
                <w:rFonts w:ascii="Arial" w:hAnsi="Arial" w:cs="Arial"/>
                <w:sz w:val="20"/>
                <w:szCs w:val="20"/>
              </w:rPr>
              <w:t xml:space="preserve"> and the total outstanding balance is £</w:t>
            </w:r>
            <w:r w:rsidR="00BF0C85">
              <w:rPr>
                <w:rFonts w:ascii="Arial" w:hAnsi="Arial" w:cs="Arial"/>
                <w:sz w:val="20"/>
                <w:szCs w:val="20"/>
              </w:rPr>
              <w:t>5.85</w:t>
            </w:r>
            <w:r w:rsidRPr="000420F5">
              <w:rPr>
                <w:rFonts w:ascii="Arial" w:hAnsi="Arial" w:cs="Arial"/>
                <w:sz w:val="20"/>
                <w:szCs w:val="20"/>
              </w:rPr>
              <w:t>m.</w:t>
            </w:r>
            <w:r w:rsidR="0083327F">
              <w:rPr>
                <w:rFonts w:ascii="Arial" w:hAnsi="Arial" w:cs="Arial"/>
                <w:sz w:val="20"/>
                <w:szCs w:val="20"/>
              </w:rPr>
              <w:t xml:space="preserve"> </w:t>
            </w:r>
          </w:p>
          <w:p w14:paraId="5F15A248" w14:textId="21F88005" w:rsidR="006515F7" w:rsidRDefault="006515F7" w:rsidP="00E24379">
            <w:pPr>
              <w:spacing w:after="120"/>
              <w:jc w:val="both"/>
              <w:rPr>
                <w:rFonts w:ascii="Arial" w:hAnsi="Arial" w:cs="Arial"/>
                <w:sz w:val="20"/>
                <w:szCs w:val="20"/>
              </w:rPr>
            </w:pPr>
            <w:r>
              <w:rPr>
                <w:rFonts w:ascii="Arial" w:hAnsi="Arial" w:cs="Arial"/>
                <w:sz w:val="20"/>
                <w:szCs w:val="20"/>
              </w:rPr>
              <w:t>Loan</w:t>
            </w:r>
            <w:r w:rsidRPr="000420F5">
              <w:rPr>
                <w:rFonts w:ascii="Arial" w:hAnsi="Arial" w:cs="Arial"/>
                <w:sz w:val="20"/>
                <w:szCs w:val="20"/>
              </w:rPr>
              <w:t xml:space="preserve"> borrowings </w:t>
            </w:r>
            <w:r w:rsidR="003B0F3B">
              <w:rPr>
                <w:rFonts w:ascii="Arial" w:hAnsi="Arial" w:cs="Arial"/>
                <w:sz w:val="20"/>
                <w:szCs w:val="20"/>
              </w:rPr>
              <w:t>include</w:t>
            </w:r>
            <w:r w:rsidRPr="000420F5">
              <w:rPr>
                <w:rFonts w:ascii="Arial" w:hAnsi="Arial" w:cs="Arial"/>
                <w:sz w:val="20"/>
                <w:szCs w:val="20"/>
              </w:rPr>
              <w:t xml:space="preserve"> £</w:t>
            </w:r>
            <w:r w:rsidR="00BF0C85">
              <w:rPr>
                <w:rFonts w:ascii="Arial" w:hAnsi="Arial" w:cs="Arial"/>
                <w:sz w:val="20"/>
                <w:szCs w:val="20"/>
              </w:rPr>
              <w:t>1.87</w:t>
            </w:r>
            <w:r w:rsidRPr="000420F5">
              <w:rPr>
                <w:rFonts w:ascii="Arial" w:hAnsi="Arial" w:cs="Arial"/>
                <w:sz w:val="20"/>
                <w:szCs w:val="20"/>
              </w:rPr>
              <w:t>m of repayments due within 12 months which are shown in Borrowings – Current</w:t>
            </w:r>
            <w:r w:rsidR="00477989">
              <w:rPr>
                <w:rFonts w:ascii="Arial" w:hAnsi="Arial" w:cs="Arial"/>
                <w:sz w:val="20"/>
                <w:szCs w:val="20"/>
              </w:rPr>
              <w:t>.</w:t>
            </w:r>
          </w:p>
          <w:p w14:paraId="2577F0C6" w14:textId="2D7438C9" w:rsidR="00BF0C85" w:rsidRPr="000420F5" w:rsidRDefault="00BF0C85" w:rsidP="00E24379">
            <w:pPr>
              <w:spacing w:after="120"/>
              <w:jc w:val="both"/>
              <w:rPr>
                <w:rFonts w:ascii="Arial" w:hAnsi="Arial" w:cs="Arial"/>
                <w:sz w:val="20"/>
                <w:szCs w:val="20"/>
              </w:rPr>
            </w:pPr>
          </w:p>
        </w:tc>
      </w:tr>
      <w:tr w:rsidR="006515F7" w:rsidRPr="000420F5" w14:paraId="2190C2DD" w14:textId="77777777" w:rsidTr="004C1F1D">
        <w:tc>
          <w:tcPr>
            <w:tcW w:w="1516" w:type="dxa"/>
          </w:tcPr>
          <w:p w14:paraId="4F23AA58" w14:textId="77777777" w:rsidR="006515F7" w:rsidRPr="000420F5" w:rsidRDefault="006515F7" w:rsidP="004C1F1D">
            <w:pPr>
              <w:spacing w:after="0"/>
              <w:jc w:val="center"/>
              <w:rPr>
                <w:rFonts w:ascii="Arial" w:hAnsi="Arial" w:cs="Arial"/>
                <w:b/>
                <w:sz w:val="20"/>
                <w:szCs w:val="20"/>
              </w:rPr>
            </w:pPr>
            <w:r w:rsidRPr="000420F5">
              <w:rPr>
                <w:rFonts w:ascii="Arial" w:hAnsi="Arial" w:cs="Arial"/>
                <w:b/>
                <w:sz w:val="20"/>
                <w:szCs w:val="20"/>
              </w:rPr>
              <w:t>Liquidity</w:t>
            </w:r>
          </w:p>
          <w:p w14:paraId="264ACCDC" w14:textId="5B55E2D7" w:rsidR="006515F7" w:rsidRPr="000420F5" w:rsidRDefault="006515F7" w:rsidP="004C1F1D">
            <w:pPr>
              <w:spacing w:after="0"/>
              <w:jc w:val="center"/>
              <w:rPr>
                <w:rFonts w:ascii="Arial" w:hAnsi="Arial" w:cs="Arial"/>
                <w:b/>
                <w:sz w:val="20"/>
                <w:szCs w:val="20"/>
              </w:rPr>
            </w:pPr>
            <w:r w:rsidRPr="000420F5">
              <w:rPr>
                <w:rFonts w:ascii="Arial" w:hAnsi="Arial" w:cs="Arial"/>
                <w:b/>
                <w:sz w:val="20"/>
                <w:szCs w:val="20"/>
              </w:rPr>
              <w:t xml:space="preserve">(Annex </w:t>
            </w:r>
            <w:r w:rsidR="001E0819">
              <w:rPr>
                <w:rFonts w:ascii="Arial" w:hAnsi="Arial" w:cs="Arial"/>
                <w:b/>
                <w:sz w:val="20"/>
                <w:szCs w:val="20"/>
              </w:rPr>
              <w:t>G</w:t>
            </w:r>
            <w:r w:rsidRPr="000420F5">
              <w:rPr>
                <w:rFonts w:ascii="Arial" w:hAnsi="Arial" w:cs="Arial"/>
                <w:b/>
                <w:sz w:val="20"/>
                <w:szCs w:val="20"/>
              </w:rPr>
              <w:t xml:space="preserve"> &amp; </w:t>
            </w:r>
            <w:r w:rsidR="001E0819">
              <w:rPr>
                <w:rFonts w:ascii="Arial" w:hAnsi="Arial" w:cs="Arial"/>
                <w:b/>
                <w:sz w:val="20"/>
                <w:szCs w:val="20"/>
              </w:rPr>
              <w:t>H</w:t>
            </w:r>
            <w:r w:rsidRPr="000420F5">
              <w:rPr>
                <w:rFonts w:ascii="Arial" w:hAnsi="Arial" w:cs="Arial"/>
                <w:b/>
                <w:sz w:val="20"/>
                <w:szCs w:val="20"/>
              </w:rPr>
              <w:t>)</w:t>
            </w:r>
          </w:p>
        </w:tc>
        <w:tc>
          <w:tcPr>
            <w:tcW w:w="1398" w:type="dxa"/>
          </w:tcPr>
          <w:p w14:paraId="1EA1D410" w14:textId="491FBE41" w:rsidR="006515F7" w:rsidRPr="000420F5" w:rsidRDefault="00AD48F7" w:rsidP="004C1F1D">
            <w:pPr>
              <w:spacing w:after="0" w:line="240" w:lineRule="auto"/>
              <w:jc w:val="center"/>
              <w:rPr>
                <w:rFonts w:ascii="Arial" w:hAnsi="Arial" w:cs="Arial"/>
                <w:b/>
                <w:sz w:val="20"/>
                <w:szCs w:val="20"/>
              </w:rPr>
            </w:pPr>
            <w:r>
              <w:rPr>
                <w:rFonts w:ascii="Arial" w:hAnsi="Arial" w:cs="Arial"/>
                <w:b/>
                <w:sz w:val="20"/>
                <w:szCs w:val="20"/>
              </w:rPr>
              <w:t>-2.6</w:t>
            </w:r>
            <w:r w:rsidR="006515F7" w:rsidRPr="000420F5">
              <w:rPr>
                <w:rFonts w:ascii="Arial" w:hAnsi="Arial" w:cs="Arial"/>
                <w:b/>
                <w:sz w:val="20"/>
                <w:szCs w:val="20"/>
              </w:rPr>
              <w:t xml:space="preserve"> days</w:t>
            </w:r>
          </w:p>
          <w:p w14:paraId="41512FDF" w14:textId="1B651EEE" w:rsidR="006515F7" w:rsidRPr="000420F5" w:rsidRDefault="006515F7" w:rsidP="00CC1DCD">
            <w:pPr>
              <w:spacing w:after="0" w:line="240" w:lineRule="auto"/>
              <w:jc w:val="center"/>
              <w:rPr>
                <w:rFonts w:ascii="Arial" w:hAnsi="Arial" w:cs="Arial"/>
                <w:b/>
                <w:sz w:val="20"/>
                <w:szCs w:val="20"/>
              </w:rPr>
            </w:pPr>
            <w:r w:rsidRPr="000420F5">
              <w:rPr>
                <w:rFonts w:ascii="Arial" w:hAnsi="Arial" w:cs="Arial"/>
                <w:b/>
                <w:sz w:val="20"/>
                <w:szCs w:val="20"/>
              </w:rPr>
              <w:t>(</w:t>
            </w:r>
            <w:r w:rsidR="00DE4D4D">
              <w:rPr>
                <w:rFonts w:ascii="Arial" w:hAnsi="Arial" w:cs="Arial"/>
                <w:b/>
                <w:sz w:val="20"/>
                <w:szCs w:val="20"/>
              </w:rPr>
              <w:t>0.2</w:t>
            </w:r>
            <w:r w:rsidRPr="000420F5">
              <w:rPr>
                <w:rFonts w:ascii="Arial" w:hAnsi="Arial" w:cs="Arial"/>
                <w:b/>
                <w:sz w:val="20"/>
                <w:szCs w:val="20"/>
              </w:rPr>
              <w:t xml:space="preserve"> days)</w:t>
            </w:r>
          </w:p>
        </w:tc>
        <w:tc>
          <w:tcPr>
            <w:tcW w:w="6984" w:type="dxa"/>
          </w:tcPr>
          <w:p w14:paraId="62A6517B" w14:textId="65875F73" w:rsidR="006515F7" w:rsidRPr="000420F5" w:rsidRDefault="006515F7" w:rsidP="00E24379">
            <w:pPr>
              <w:spacing w:after="120"/>
              <w:jc w:val="both"/>
              <w:rPr>
                <w:rFonts w:ascii="Arial" w:hAnsi="Arial" w:cs="Arial"/>
                <w:sz w:val="20"/>
                <w:szCs w:val="20"/>
              </w:rPr>
            </w:pPr>
            <w:r>
              <w:rPr>
                <w:rFonts w:ascii="Arial" w:hAnsi="Arial" w:cs="Arial"/>
                <w:sz w:val="20"/>
                <w:szCs w:val="20"/>
              </w:rPr>
              <w:t xml:space="preserve">There was </w:t>
            </w:r>
            <w:r w:rsidR="007C7599">
              <w:rPr>
                <w:rFonts w:ascii="Arial" w:hAnsi="Arial" w:cs="Arial"/>
                <w:sz w:val="20"/>
                <w:szCs w:val="20"/>
              </w:rPr>
              <w:t>a reduction</w:t>
            </w:r>
            <w:r w:rsidRPr="000420F5">
              <w:rPr>
                <w:rFonts w:ascii="Arial" w:hAnsi="Arial" w:cs="Arial"/>
                <w:sz w:val="20"/>
                <w:szCs w:val="20"/>
              </w:rPr>
              <w:t xml:space="preserve"> of </w:t>
            </w:r>
            <w:r w:rsidR="00AD48F7">
              <w:rPr>
                <w:rFonts w:ascii="Arial" w:hAnsi="Arial" w:cs="Arial"/>
                <w:sz w:val="20"/>
                <w:szCs w:val="20"/>
              </w:rPr>
              <w:t>2.8</w:t>
            </w:r>
            <w:r w:rsidR="006F147D">
              <w:rPr>
                <w:rFonts w:ascii="Arial" w:hAnsi="Arial" w:cs="Arial"/>
                <w:sz w:val="20"/>
                <w:szCs w:val="20"/>
              </w:rPr>
              <w:t xml:space="preserve"> </w:t>
            </w:r>
            <w:r w:rsidRPr="000420F5">
              <w:rPr>
                <w:rFonts w:ascii="Arial" w:hAnsi="Arial" w:cs="Arial"/>
                <w:sz w:val="20"/>
                <w:szCs w:val="20"/>
              </w:rPr>
              <w:t>day</w:t>
            </w:r>
            <w:r w:rsidR="00AD48F7">
              <w:rPr>
                <w:rFonts w:ascii="Arial" w:hAnsi="Arial" w:cs="Arial"/>
                <w:sz w:val="20"/>
                <w:szCs w:val="20"/>
              </w:rPr>
              <w:t>s</w:t>
            </w:r>
            <w:r w:rsidRPr="000420F5">
              <w:rPr>
                <w:rFonts w:ascii="Arial" w:hAnsi="Arial" w:cs="Arial"/>
                <w:sz w:val="20"/>
                <w:szCs w:val="20"/>
              </w:rPr>
              <w:t xml:space="preserve"> in M</w:t>
            </w:r>
            <w:r w:rsidR="00EF405F">
              <w:rPr>
                <w:rFonts w:ascii="Arial" w:hAnsi="Arial" w:cs="Arial"/>
                <w:sz w:val="20"/>
                <w:szCs w:val="20"/>
              </w:rPr>
              <w:t>0</w:t>
            </w:r>
            <w:r w:rsidR="00AD48F7">
              <w:rPr>
                <w:rFonts w:ascii="Arial" w:hAnsi="Arial" w:cs="Arial"/>
                <w:sz w:val="20"/>
                <w:szCs w:val="20"/>
              </w:rPr>
              <w:t>7</w:t>
            </w:r>
            <w:r w:rsidR="006F2BC9">
              <w:rPr>
                <w:rFonts w:ascii="Arial" w:hAnsi="Arial" w:cs="Arial"/>
                <w:sz w:val="20"/>
                <w:szCs w:val="20"/>
              </w:rPr>
              <w:t xml:space="preserve">, </w:t>
            </w:r>
            <w:r w:rsidR="00BB6E2B">
              <w:rPr>
                <w:rFonts w:ascii="Arial" w:hAnsi="Arial" w:cs="Arial"/>
                <w:sz w:val="20"/>
                <w:szCs w:val="20"/>
              </w:rPr>
              <w:t>driven</w:t>
            </w:r>
            <w:r w:rsidR="006F2BC9">
              <w:rPr>
                <w:rFonts w:ascii="Arial" w:hAnsi="Arial" w:cs="Arial"/>
                <w:sz w:val="20"/>
                <w:szCs w:val="20"/>
              </w:rPr>
              <w:t xml:space="preserve"> </w:t>
            </w:r>
            <w:r w:rsidR="006E6C46">
              <w:rPr>
                <w:rFonts w:ascii="Arial" w:hAnsi="Arial" w:cs="Arial"/>
                <w:sz w:val="20"/>
                <w:szCs w:val="20"/>
              </w:rPr>
              <w:t xml:space="preserve">by </w:t>
            </w:r>
            <w:r w:rsidR="003808E9">
              <w:rPr>
                <w:rFonts w:ascii="Arial" w:hAnsi="Arial" w:cs="Arial"/>
                <w:sz w:val="20"/>
                <w:szCs w:val="20"/>
              </w:rPr>
              <w:t xml:space="preserve">the </w:t>
            </w:r>
            <w:r w:rsidR="00632EF3">
              <w:rPr>
                <w:rFonts w:ascii="Arial" w:hAnsi="Arial" w:cs="Arial"/>
                <w:sz w:val="20"/>
                <w:szCs w:val="20"/>
              </w:rPr>
              <w:t>dec</w:t>
            </w:r>
            <w:r w:rsidR="00BB6E2B">
              <w:rPr>
                <w:rFonts w:ascii="Arial" w:hAnsi="Arial" w:cs="Arial"/>
                <w:sz w:val="20"/>
                <w:szCs w:val="20"/>
              </w:rPr>
              <w:t>rease</w:t>
            </w:r>
            <w:r w:rsidR="00AD48F7">
              <w:rPr>
                <w:rFonts w:ascii="Arial" w:hAnsi="Arial" w:cs="Arial"/>
                <w:sz w:val="20"/>
                <w:szCs w:val="20"/>
              </w:rPr>
              <w:t xml:space="preserve"> in cash held and an increase in stock.</w:t>
            </w:r>
          </w:p>
        </w:tc>
      </w:tr>
      <w:tr w:rsidR="006515F7" w:rsidRPr="000420F5" w14:paraId="3ABA5608" w14:textId="77777777" w:rsidTr="004C1F1D">
        <w:trPr>
          <w:trHeight w:val="2263"/>
        </w:trPr>
        <w:tc>
          <w:tcPr>
            <w:tcW w:w="1516" w:type="dxa"/>
          </w:tcPr>
          <w:p w14:paraId="2CB9A7C9" w14:textId="77777777" w:rsidR="006515F7" w:rsidRPr="000420F5" w:rsidRDefault="006515F7" w:rsidP="004C1F1D">
            <w:pPr>
              <w:spacing w:after="0"/>
              <w:jc w:val="center"/>
              <w:rPr>
                <w:rFonts w:ascii="Arial" w:hAnsi="Arial" w:cs="Arial"/>
                <w:b/>
                <w:sz w:val="20"/>
                <w:szCs w:val="20"/>
              </w:rPr>
            </w:pPr>
            <w:r w:rsidRPr="000420F5">
              <w:rPr>
                <w:rFonts w:ascii="Arial" w:hAnsi="Arial" w:cs="Arial"/>
                <w:b/>
                <w:sz w:val="20"/>
                <w:szCs w:val="20"/>
              </w:rPr>
              <w:t>Trade Debtors</w:t>
            </w:r>
          </w:p>
          <w:p w14:paraId="6966A594" w14:textId="3390F643" w:rsidR="006515F7" w:rsidRPr="000420F5" w:rsidRDefault="006515F7" w:rsidP="004C1F1D">
            <w:pPr>
              <w:spacing w:after="0"/>
              <w:jc w:val="center"/>
              <w:rPr>
                <w:rFonts w:ascii="Arial" w:hAnsi="Arial" w:cs="Arial"/>
                <w:b/>
                <w:sz w:val="20"/>
                <w:szCs w:val="20"/>
              </w:rPr>
            </w:pPr>
            <w:r w:rsidRPr="000420F5">
              <w:rPr>
                <w:rFonts w:ascii="Arial" w:hAnsi="Arial" w:cs="Arial"/>
                <w:b/>
                <w:sz w:val="20"/>
                <w:szCs w:val="20"/>
              </w:rPr>
              <w:t xml:space="preserve">(Annex </w:t>
            </w:r>
            <w:r w:rsidR="001E0819">
              <w:rPr>
                <w:rFonts w:ascii="Arial" w:hAnsi="Arial" w:cs="Arial"/>
                <w:b/>
                <w:sz w:val="20"/>
                <w:szCs w:val="20"/>
              </w:rPr>
              <w:t>I</w:t>
            </w:r>
            <w:r w:rsidR="00D94716">
              <w:rPr>
                <w:rFonts w:ascii="Arial" w:hAnsi="Arial" w:cs="Arial"/>
                <w:b/>
                <w:sz w:val="20"/>
                <w:szCs w:val="20"/>
              </w:rPr>
              <w:t xml:space="preserve"> &amp; </w:t>
            </w:r>
            <w:r w:rsidR="001E0819">
              <w:rPr>
                <w:rFonts w:ascii="Arial" w:hAnsi="Arial" w:cs="Arial"/>
                <w:b/>
                <w:sz w:val="20"/>
                <w:szCs w:val="20"/>
              </w:rPr>
              <w:t>J</w:t>
            </w:r>
            <w:r w:rsidRPr="000420F5">
              <w:rPr>
                <w:rFonts w:ascii="Arial" w:hAnsi="Arial" w:cs="Arial"/>
                <w:b/>
                <w:sz w:val="20"/>
                <w:szCs w:val="20"/>
              </w:rPr>
              <w:t>)</w:t>
            </w:r>
          </w:p>
        </w:tc>
        <w:tc>
          <w:tcPr>
            <w:tcW w:w="1398" w:type="dxa"/>
          </w:tcPr>
          <w:p w14:paraId="21EB1D9F" w14:textId="7BF76437" w:rsidR="006515F7" w:rsidRPr="000420F5" w:rsidRDefault="006515F7" w:rsidP="004C1F1D">
            <w:pPr>
              <w:spacing w:after="0" w:line="240" w:lineRule="auto"/>
              <w:jc w:val="center"/>
              <w:rPr>
                <w:rFonts w:ascii="Arial" w:hAnsi="Arial" w:cs="Arial"/>
                <w:b/>
                <w:sz w:val="20"/>
                <w:szCs w:val="20"/>
              </w:rPr>
            </w:pPr>
            <w:r w:rsidRPr="000420F5">
              <w:rPr>
                <w:rFonts w:ascii="Arial" w:hAnsi="Arial" w:cs="Arial"/>
                <w:b/>
                <w:sz w:val="20"/>
                <w:szCs w:val="20"/>
              </w:rPr>
              <w:t>£</w:t>
            </w:r>
            <w:r w:rsidR="00B513B3">
              <w:rPr>
                <w:rFonts w:ascii="Arial" w:hAnsi="Arial" w:cs="Arial"/>
                <w:b/>
                <w:sz w:val="20"/>
                <w:szCs w:val="20"/>
              </w:rPr>
              <w:t>2</w:t>
            </w:r>
            <w:r w:rsidR="00C529F5">
              <w:rPr>
                <w:rFonts w:ascii="Arial" w:hAnsi="Arial" w:cs="Arial"/>
                <w:b/>
                <w:sz w:val="20"/>
                <w:szCs w:val="20"/>
              </w:rPr>
              <w:t>7.7</w:t>
            </w:r>
            <w:r w:rsidRPr="000420F5">
              <w:rPr>
                <w:rFonts w:ascii="Arial" w:hAnsi="Arial" w:cs="Arial"/>
                <w:b/>
                <w:sz w:val="20"/>
                <w:szCs w:val="20"/>
              </w:rPr>
              <w:t>m</w:t>
            </w:r>
          </w:p>
          <w:p w14:paraId="3F618390" w14:textId="4D487762" w:rsidR="006515F7" w:rsidRPr="000420F5" w:rsidRDefault="006515F7" w:rsidP="0011190D">
            <w:pPr>
              <w:spacing w:after="0" w:line="240" w:lineRule="auto"/>
              <w:jc w:val="center"/>
              <w:rPr>
                <w:rFonts w:ascii="Arial" w:hAnsi="Arial" w:cs="Arial"/>
                <w:b/>
                <w:sz w:val="20"/>
                <w:szCs w:val="20"/>
              </w:rPr>
            </w:pPr>
            <w:r w:rsidRPr="000420F5">
              <w:rPr>
                <w:rFonts w:ascii="Arial" w:hAnsi="Arial" w:cs="Arial"/>
                <w:b/>
                <w:sz w:val="20"/>
                <w:szCs w:val="20"/>
              </w:rPr>
              <w:t>(£</w:t>
            </w:r>
            <w:r w:rsidR="005813A3">
              <w:rPr>
                <w:rFonts w:ascii="Arial" w:hAnsi="Arial" w:cs="Arial"/>
                <w:b/>
                <w:sz w:val="20"/>
                <w:szCs w:val="20"/>
              </w:rPr>
              <w:t>2</w:t>
            </w:r>
            <w:r w:rsidR="00C529F5">
              <w:rPr>
                <w:rFonts w:ascii="Arial" w:hAnsi="Arial" w:cs="Arial"/>
                <w:b/>
                <w:sz w:val="20"/>
                <w:szCs w:val="20"/>
              </w:rPr>
              <w:t>6.3</w:t>
            </w:r>
            <w:r w:rsidRPr="000420F5">
              <w:rPr>
                <w:rFonts w:ascii="Arial" w:hAnsi="Arial" w:cs="Arial"/>
                <w:b/>
                <w:sz w:val="20"/>
                <w:szCs w:val="20"/>
              </w:rPr>
              <w:t>m)</w:t>
            </w:r>
          </w:p>
        </w:tc>
        <w:tc>
          <w:tcPr>
            <w:tcW w:w="6984" w:type="dxa"/>
          </w:tcPr>
          <w:p w14:paraId="1B00F2CC" w14:textId="12319334" w:rsidR="00D113B0" w:rsidRDefault="006515F7" w:rsidP="00D113B0">
            <w:pPr>
              <w:spacing w:after="120"/>
              <w:jc w:val="both"/>
              <w:rPr>
                <w:rFonts w:ascii="Arial" w:hAnsi="Arial" w:cs="Arial"/>
                <w:sz w:val="20"/>
                <w:szCs w:val="20"/>
              </w:rPr>
            </w:pPr>
            <w:r w:rsidRPr="00ED6E3C">
              <w:rPr>
                <w:rFonts w:ascii="Arial" w:hAnsi="Arial" w:cs="Arial"/>
                <w:sz w:val="20"/>
                <w:szCs w:val="20"/>
              </w:rPr>
              <w:t>NHS debt totals £</w:t>
            </w:r>
            <w:r w:rsidR="005455D3">
              <w:rPr>
                <w:rFonts w:ascii="Arial" w:hAnsi="Arial" w:cs="Arial"/>
                <w:sz w:val="20"/>
                <w:szCs w:val="20"/>
              </w:rPr>
              <w:t>11.</w:t>
            </w:r>
            <w:r w:rsidR="00C529F5">
              <w:rPr>
                <w:rFonts w:ascii="Arial" w:hAnsi="Arial" w:cs="Arial"/>
                <w:sz w:val="20"/>
                <w:szCs w:val="20"/>
              </w:rPr>
              <w:t>9</w:t>
            </w:r>
            <w:r w:rsidRPr="00ED6E3C">
              <w:rPr>
                <w:rFonts w:ascii="Arial" w:hAnsi="Arial" w:cs="Arial"/>
                <w:sz w:val="20"/>
                <w:szCs w:val="20"/>
              </w:rPr>
              <w:t>m, a £</w:t>
            </w:r>
            <w:r w:rsidR="00566120">
              <w:rPr>
                <w:rFonts w:ascii="Arial" w:hAnsi="Arial" w:cs="Arial"/>
                <w:sz w:val="20"/>
                <w:szCs w:val="20"/>
              </w:rPr>
              <w:t>0.</w:t>
            </w:r>
            <w:r w:rsidR="00C529F5">
              <w:rPr>
                <w:rFonts w:ascii="Arial" w:hAnsi="Arial" w:cs="Arial"/>
                <w:sz w:val="20"/>
                <w:szCs w:val="20"/>
              </w:rPr>
              <w:t>8</w:t>
            </w:r>
            <w:r w:rsidRPr="00ED6E3C">
              <w:rPr>
                <w:rFonts w:ascii="Arial" w:hAnsi="Arial" w:cs="Arial"/>
                <w:sz w:val="20"/>
                <w:szCs w:val="20"/>
              </w:rPr>
              <w:t xml:space="preserve">m </w:t>
            </w:r>
            <w:r w:rsidR="005455D3">
              <w:rPr>
                <w:rFonts w:ascii="Arial" w:hAnsi="Arial" w:cs="Arial"/>
                <w:sz w:val="20"/>
                <w:szCs w:val="20"/>
              </w:rPr>
              <w:t>in</w:t>
            </w:r>
            <w:r w:rsidR="00965DF4">
              <w:rPr>
                <w:rFonts w:ascii="Arial" w:hAnsi="Arial" w:cs="Arial"/>
                <w:sz w:val="20"/>
                <w:szCs w:val="20"/>
              </w:rPr>
              <w:t>c</w:t>
            </w:r>
            <w:r w:rsidR="00383631">
              <w:rPr>
                <w:rFonts w:ascii="Arial" w:hAnsi="Arial" w:cs="Arial"/>
                <w:sz w:val="20"/>
                <w:szCs w:val="20"/>
              </w:rPr>
              <w:t>r</w:t>
            </w:r>
            <w:r w:rsidRPr="00ED6E3C">
              <w:rPr>
                <w:rFonts w:ascii="Arial" w:hAnsi="Arial" w:cs="Arial"/>
                <w:sz w:val="20"/>
                <w:szCs w:val="20"/>
              </w:rPr>
              <w:t>ease on M</w:t>
            </w:r>
            <w:r w:rsidR="00420396">
              <w:rPr>
                <w:rFonts w:ascii="Arial" w:hAnsi="Arial" w:cs="Arial"/>
                <w:sz w:val="20"/>
                <w:szCs w:val="20"/>
              </w:rPr>
              <w:t>0</w:t>
            </w:r>
            <w:r w:rsidR="00C529F5">
              <w:rPr>
                <w:rFonts w:ascii="Arial" w:hAnsi="Arial" w:cs="Arial"/>
                <w:sz w:val="20"/>
                <w:szCs w:val="20"/>
              </w:rPr>
              <w:t>6</w:t>
            </w:r>
            <w:r w:rsidR="000C26DB">
              <w:rPr>
                <w:rFonts w:ascii="Arial" w:hAnsi="Arial" w:cs="Arial"/>
                <w:sz w:val="20"/>
                <w:szCs w:val="20"/>
              </w:rPr>
              <w:t>.</w:t>
            </w:r>
            <w:r w:rsidR="005E73E3">
              <w:rPr>
                <w:rFonts w:ascii="Arial" w:hAnsi="Arial" w:cs="Arial"/>
                <w:sz w:val="20"/>
                <w:szCs w:val="20"/>
              </w:rPr>
              <w:t xml:space="preserve"> </w:t>
            </w:r>
            <w:r w:rsidRPr="00ED6E3C">
              <w:rPr>
                <w:rFonts w:ascii="Arial" w:hAnsi="Arial" w:cs="Arial"/>
                <w:sz w:val="20"/>
                <w:szCs w:val="20"/>
              </w:rPr>
              <w:t xml:space="preserve"> Within this figure, £</w:t>
            </w:r>
            <w:r w:rsidR="00C529F5">
              <w:rPr>
                <w:rFonts w:ascii="Arial" w:hAnsi="Arial" w:cs="Arial"/>
                <w:sz w:val="20"/>
                <w:szCs w:val="20"/>
              </w:rPr>
              <w:t>4.8</w:t>
            </w:r>
            <w:r w:rsidRPr="00ED6E3C">
              <w:rPr>
                <w:rFonts w:ascii="Arial" w:hAnsi="Arial" w:cs="Arial"/>
                <w:sz w:val="20"/>
                <w:szCs w:val="20"/>
              </w:rPr>
              <w:t>m is CCG debt (M</w:t>
            </w:r>
            <w:r w:rsidR="00420396">
              <w:rPr>
                <w:rFonts w:ascii="Arial" w:hAnsi="Arial" w:cs="Arial"/>
                <w:sz w:val="20"/>
                <w:szCs w:val="20"/>
              </w:rPr>
              <w:t>0</w:t>
            </w:r>
            <w:r w:rsidR="00C529F5">
              <w:rPr>
                <w:rFonts w:ascii="Arial" w:hAnsi="Arial" w:cs="Arial"/>
                <w:sz w:val="20"/>
                <w:szCs w:val="20"/>
              </w:rPr>
              <w:t>6</w:t>
            </w:r>
            <w:r w:rsidR="00CC1DCD" w:rsidRPr="00ED6E3C">
              <w:rPr>
                <w:rFonts w:ascii="Arial" w:hAnsi="Arial" w:cs="Arial"/>
                <w:sz w:val="20"/>
                <w:szCs w:val="20"/>
              </w:rPr>
              <w:t xml:space="preserve"> </w:t>
            </w:r>
            <w:r w:rsidRPr="00ED6E3C">
              <w:rPr>
                <w:rFonts w:ascii="Arial" w:hAnsi="Arial" w:cs="Arial"/>
                <w:sz w:val="20"/>
                <w:szCs w:val="20"/>
              </w:rPr>
              <w:t>– £</w:t>
            </w:r>
            <w:r w:rsidR="00BB6E2B">
              <w:rPr>
                <w:rFonts w:ascii="Arial" w:hAnsi="Arial" w:cs="Arial"/>
                <w:sz w:val="20"/>
                <w:szCs w:val="20"/>
              </w:rPr>
              <w:t>5.</w:t>
            </w:r>
            <w:r w:rsidR="00C529F5">
              <w:rPr>
                <w:rFonts w:ascii="Arial" w:hAnsi="Arial" w:cs="Arial"/>
                <w:sz w:val="20"/>
                <w:szCs w:val="20"/>
              </w:rPr>
              <w:t>7</w:t>
            </w:r>
            <w:r w:rsidRPr="00ED6E3C">
              <w:rPr>
                <w:rFonts w:ascii="Arial" w:hAnsi="Arial" w:cs="Arial"/>
                <w:sz w:val="20"/>
                <w:szCs w:val="20"/>
              </w:rPr>
              <w:t>m), £</w:t>
            </w:r>
            <w:r w:rsidR="00C529F5">
              <w:rPr>
                <w:rFonts w:ascii="Arial" w:hAnsi="Arial" w:cs="Arial"/>
                <w:sz w:val="20"/>
                <w:szCs w:val="20"/>
              </w:rPr>
              <w:t>3.7</w:t>
            </w:r>
            <w:r w:rsidRPr="00ED6E3C">
              <w:rPr>
                <w:rFonts w:ascii="Arial" w:hAnsi="Arial" w:cs="Arial"/>
                <w:sz w:val="20"/>
                <w:szCs w:val="20"/>
              </w:rPr>
              <w:t>m is NHSE debt (M</w:t>
            </w:r>
            <w:r w:rsidR="00420396">
              <w:rPr>
                <w:rFonts w:ascii="Arial" w:hAnsi="Arial" w:cs="Arial"/>
                <w:sz w:val="20"/>
                <w:szCs w:val="20"/>
              </w:rPr>
              <w:t>0</w:t>
            </w:r>
            <w:r w:rsidR="00C529F5">
              <w:rPr>
                <w:rFonts w:ascii="Arial" w:hAnsi="Arial" w:cs="Arial"/>
                <w:sz w:val="20"/>
                <w:szCs w:val="20"/>
              </w:rPr>
              <w:t>6</w:t>
            </w:r>
            <w:r w:rsidRPr="00ED6E3C">
              <w:rPr>
                <w:rFonts w:ascii="Arial" w:hAnsi="Arial" w:cs="Arial"/>
                <w:sz w:val="20"/>
                <w:szCs w:val="20"/>
              </w:rPr>
              <w:t xml:space="preserve"> – £</w:t>
            </w:r>
            <w:r w:rsidR="005455D3">
              <w:rPr>
                <w:rFonts w:ascii="Arial" w:hAnsi="Arial" w:cs="Arial"/>
                <w:sz w:val="20"/>
                <w:szCs w:val="20"/>
              </w:rPr>
              <w:t>1.</w:t>
            </w:r>
            <w:r w:rsidR="00C529F5">
              <w:rPr>
                <w:rFonts w:ascii="Arial" w:hAnsi="Arial" w:cs="Arial"/>
                <w:sz w:val="20"/>
                <w:szCs w:val="20"/>
              </w:rPr>
              <w:t>8</w:t>
            </w:r>
            <w:r w:rsidRPr="00ED6E3C">
              <w:rPr>
                <w:rFonts w:ascii="Arial" w:hAnsi="Arial" w:cs="Arial"/>
                <w:sz w:val="20"/>
                <w:szCs w:val="20"/>
              </w:rPr>
              <w:t>m) and £</w:t>
            </w:r>
            <w:r w:rsidR="005455D3">
              <w:rPr>
                <w:rFonts w:ascii="Arial" w:hAnsi="Arial" w:cs="Arial"/>
                <w:sz w:val="20"/>
                <w:szCs w:val="20"/>
              </w:rPr>
              <w:t>3.</w:t>
            </w:r>
            <w:r w:rsidR="00C529F5">
              <w:rPr>
                <w:rFonts w:ascii="Arial" w:hAnsi="Arial" w:cs="Arial"/>
                <w:sz w:val="20"/>
                <w:szCs w:val="20"/>
              </w:rPr>
              <w:t>4</w:t>
            </w:r>
            <w:r w:rsidR="001A688A">
              <w:rPr>
                <w:rFonts w:ascii="Arial" w:hAnsi="Arial" w:cs="Arial"/>
                <w:sz w:val="20"/>
                <w:szCs w:val="20"/>
              </w:rPr>
              <w:t xml:space="preserve">m </w:t>
            </w:r>
            <w:r w:rsidRPr="00ED6E3C">
              <w:rPr>
                <w:rFonts w:ascii="Arial" w:hAnsi="Arial" w:cs="Arial"/>
                <w:sz w:val="20"/>
                <w:szCs w:val="20"/>
              </w:rPr>
              <w:t>relates to other NHS organisations</w:t>
            </w:r>
            <w:r w:rsidR="001A688A">
              <w:rPr>
                <w:rFonts w:ascii="Arial" w:hAnsi="Arial" w:cs="Arial"/>
                <w:sz w:val="20"/>
                <w:szCs w:val="20"/>
              </w:rPr>
              <w:t xml:space="preserve"> </w:t>
            </w:r>
            <w:r w:rsidR="001A688A" w:rsidRPr="00ED6E3C">
              <w:rPr>
                <w:rFonts w:ascii="Arial" w:hAnsi="Arial" w:cs="Arial"/>
                <w:sz w:val="20"/>
                <w:szCs w:val="20"/>
              </w:rPr>
              <w:t>(M</w:t>
            </w:r>
            <w:r w:rsidR="001A688A">
              <w:rPr>
                <w:rFonts w:ascii="Arial" w:hAnsi="Arial" w:cs="Arial"/>
                <w:sz w:val="20"/>
                <w:szCs w:val="20"/>
              </w:rPr>
              <w:t>0</w:t>
            </w:r>
            <w:r w:rsidR="00C529F5">
              <w:rPr>
                <w:rFonts w:ascii="Arial" w:hAnsi="Arial" w:cs="Arial"/>
                <w:sz w:val="20"/>
                <w:szCs w:val="20"/>
              </w:rPr>
              <w:t>6</w:t>
            </w:r>
            <w:r w:rsidR="001A688A" w:rsidRPr="00ED6E3C">
              <w:rPr>
                <w:rFonts w:ascii="Arial" w:hAnsi="Arial" w:cs="Arial"/>
                <w:sz w:val="20"/>
                <w:szCs w:val="20"/>
              </w:rPr>
              <w:t xml:space="preserve"> – £</w:t>
            </w:r>
            <w:r w:rsidR="00566120">
              <w:rPr>
                <w:rFonts w:ascii="Arial" w:hAnsi="Arial" w:cs="Arial"/>
                <w:sz w:val="20"/>
                <w:szCs w:val="20"/>
              </w:rPr>
              <w:t>3.</w:t>
            </w:r>
            <w:r w:rsidR="00C529F5">
              <w:rPr>
                <w:rFonts w:ascii="Arial" w:hAnsi="Arial" w:cs="Arial"/>
                <w:sz w:val="20"/>
                <w:szCs w:val="20"/>
              </w:rPr>
              <w:t>5</w:t>
            </w:r>
            <w:r w:rsidR="001A688A" w:rsidRPr="00ED6E3C">
              <w:rPr>
                <w:rFonts w:ascii="Arial" w:hAnsi="Arial" w:cs="Arial"/>
                <w:sz w:val="20"/>
                <w:szCs w:val="20"/>
              </w:rPr>
              <w:t>m)</w:t>
            </w:r>
            <w:r w:rsidRPr="00ED6E3C">
              <w:rPr>
                <w:rFonts w:ascii="Arial" w:hAnsi="Arial" w:cs="Arial"/>
                <w:sz w:val="20"/>
                <w:szCs w:val="20"/>
              </w:rPr>
              <w:t>.</w:t>
            </w:r>
          </w:p>
          <w:p w14:paraId="5C250C48" w14:textId="5D95C85E" w:rsidR="006515F7" w:rsidRPr="00ED6E3C" w:rsidRDefault="006515F7" w:rsidP="004C1F1D">
            <w:pPr>
              <w:spacing w:after="120"/>
              <w:jc w:val="both"/>
              <w:rPr>
                <w:rFonts w:ascii="Arial" w:hAnsi="Arial" w:cs="Arial"/>
                <w:sz w:val="20"/>
                <w:szCs w:val="20"/>
              </w:rPr>
            </w:pPr>
            <w:r w:rsidRPr="004D14D3">
              <w:rPr>
                <w:rFonts w:ascii="Arial" w:hAnsi="Arial" w:cs="Arial"/>
                <w:sz w:val="20"/>
                <w:szCs w:val="20"/>
              </w:rPr>
              <w:t xml:space="preserve">There </w:t>
            </w:r>
            <w:r w:rsidR="00B513B3">
              <w:rPr>
                <w:rFonts w:ascii="Arial" w:hAnsi="Arial" w:cs="Arial"/>
                <w:sz w:val="20"/>
                <w:szCs w:val="20"/>
              </w:rPr>
              <w:t>is an ongoing</w:t>
            </w:r>
            <w:r w:rsidRPr="004D14D3">
              <w:rPr>
                <w:rFonts w:ascii="Arial" w:hAnsi="Arial" w:cs="Arial"/>
                <w:sz w:val="20"/>
                <w:szCs w:val="20"/>
              </w:rPr>
              <w:t xml:space="preserve"> dispute with </w:t>
            </w:r>
            <w:r w:rsidR="00B513B3">
              <w:rPr>
                <w:rFonts w:ascii="Arial" w:hAnsi="Arial" w:cs="Arial"/>
                <w:sz w:val="20"/>
                <w:szCs w:val="20"/>
              </w:rPr>
              <w:t xml:space="preserve">a </w:t>
            </w:r>
            <w:r w:rsidRPr="004D14D3">
              <w:rPr>
                <w:rFonts w:ascii="Arial" w:hAnsi="Arial" w:cs="Arial"/>
                <w:sz w:val="20"/>
                <w:szCs w:val="20"/>
              </w:rPr>
              <w:t>CCG over payment for pre-transplant critical care</w:t>
            </w:r>
            <w:r w:rsidR="00631D35">
              <w:rPr>
                <w:rFonts w:ascii="Arial" w:hAnsi="Arial" w:cs="Arial"/>
                <w:sz w:val="20"/>
                <w:szCs w:val="20"/>
              </w:rPr>
              <w:t xml:space="preserve"> (£0.</w:t>
            </w:r>
            <w:r w:rsidR="00B513B3">
              <w:rPr>
                <w:rFonts w:ascii="Arial" w:hAnsi="Arial" w:cs="Arial"/>
                <w:sz w:val="20"/>
                <w:szCs w:val="20"/>
              </w:rPr>
              <w:t>3</w:t>
            </w:r>
            <w:r w:rsidR="00631D35">
              <w:rPr>
                <w:rFonts w:ascii="Arial" w:hAnsi="Arial" w:cs="Arial"/>
                <w:sz w:val="20"/>
                <w:szCs w:val="20"/>
              </w:rPr>
              <w:t>5m in total)</w:t>
            </w:r>
            <w:r w:rsidR="003B0F3B">
              <w:rPr>
                <w:rFonts w:ascii="Arial" w:hAnsi="Arial" w:cs="Arial"/>
                <w:sz w:val="20"/>
                <w:szCs w:val="20"/>
              </w:rPr>
              <w:t>; other CCGs</w:t>
            </w:r>
            <w:r w:rsidRPr="004D14D3">
              <w:rPr>
                <w:rFonts w:ascii="Arial" w:hAnsi="Arial" w:cs="Arial"/>
                <w:sz w:val="20"/>
                <w:szCs w:val="20"/>
              </w:rPr>
              <w:t xml:space="preserve"> have now paid the Trust for this service.</w:t>
            </w:r>
          </w:p>
          <w:p w14:paraId="14550BB0" w14:textId="1959D538" w:rsidR="006515F7" w:rsidRDefault="006515F7" w:rsidP="004C1F1D">
            <w:pPr>
              <w:spacing w:after="120"/>
              <w:jc w:val="both"/>
              <w:rPr>
                <w:rFonts w:ascii="Arial" w:hAnsi="Arial" w:cs="Arial"/>
                <w:sz w:val="20"/>
                <w:szCs w:val="20"/>
              </w:rPr>
            </w:pPr>
            <w:r w:rsidRPr="00ED6E3C">
              <w:rPr>
                <w:rFonts w:ascii="Arial" w:hAnsi="Arial" w:cs="Arial"/>
                <w:sz w:val="20"/>
                <w:szCs w:val="20"/>
              </w:rPr>
              <w:t>Private patient debt totals £</w:t>
            </w:r>
            <w:r w:rsidR="00566120">
              <w:rPr>
                <w:rFonts w:ascii="Arial" w:hAnsi="Arial" w:cs="Arial"/>
                <w:sz w:val="20"/>
                <w:szCs w:val="20"/>
              </w:rPr>
              <w:t>2</w:t>
            </w:r>
            <w:r w:rsidR="00C529F5">
              <w:rPr>
                <w:rFonts w:ascii="Arial" w:hAnsi="Arial" w:cs="Arial"/>
                <w:sz w:val="20"/>
                <w:szCs w:val="20"/>
              </w:rPr>
              <w:t>1.8</w:t>
            </w:r>
            <w:r w:rsidRPr="00ED6E3C">
              <w:rPr>
                <w:rFonts w:ascii="Arial" w:hAnsi="Arial" w:cs="Arial"/>
                <w:sz w:val="20"/>
                <w:szCs w:val="20"/>
              </w:rPr>
              <w:t>m, a</w:t>
            </w:r>
            <w:r w:rsidR="00566120">
              <w:rPr>
                <w:rFonts w:ascii="Arial" w:hAnsi="Arial" w:cs="Arial"/>
                <w:sz w:val="20"/>
                <w:szCs w:val="20"/>
              </w:rPr>
              <w:t xml:space="preserve"> decrease</w:t>
            </w:r>
            <w:r w:rsidRPr="00ED6E3C">
              <w:rPr>
                <w:rFonts w:ascii="Arial" w:hAnsi="Arial" w:cs="Arial"/>
                <w:sz w:val="20"/>
                <w:szCs w:val="20"/>
              </w:rPr>
              <w:t xml:space="preserve"> of £</w:t>
            </w:r>
            <w:r w:rsidR="00C529F5">
              <w:rPr>
                <w:rFonts w:ascii="Arial" w:hAnsi="Arial" w:cs="Arial"/>
                <w:sz w:val="20"/>
                <w:szCs w:val="20"/>
              </w:rPr>
              <w:t>2.1</w:t>
            </w:r>
            <w:r w:rsidRPr="00ED6E3C">
              <w:rPr>
                <w:rFonts w:ascii="Arial" w:hAnsi="Arial" w:cs="Arial"/>
                <w:sz w:val="20"/>
                <w:szCs w:val="20"/>
              </w:rPr>
              <w:t>m since</w:t>
            </w:r>
            <w:r w:rsidR="00ED6E3C">
              <w:rPr>
                <w:rFonts w:ascii="Arial" w:hAnsi="Arial" w:cs="Arial"/>
                <w:sz w:val="20"/>
                <w:szCs w:val="20"/>
              </w:rPr>
              <w:t xml:space="preserve"> the beginning of the financial year</w:t>
            </w:r>
            <w:r w:rsidRPr="00ED6E3C">
              <w:rPr>
                <w:rFonts w:ascii="Arial" w:hAnsi="Arial" w:cs="Arial"/>
                <w:sz w:val="20"/>
                <w:szCs w:val="20"/>
              </w:rPr>
              <w:t xml:space="preserve">.  </w:t>
            </w:r>
            <w:r w:rsidR="00FF085F">
              <w:rPr>
                <w:rFonts w:ascii="Arial" w:hAnsi="Arial" w:cs="Arial"/>
                <w:sz w:val="20"/>
                <w:szCs w:val="20"/>
              </w:rPr>
              <w:t>Also</w:t>
            </w:r>
            <w:r w:rsidR="00D0181A">
              <w:rPr>
                <w:rFonts w:ascii="Arial" w:hAnsi="Arial" w:cs="Arial"/>
                <w:sz w:val="20"/>
                <w:szCs w:val="20"/>
              </w:rPr>
              <w:t>, w</w:t>
            </w:r>
            <w:r w:rsidRPr="00ED6E3C">
              <w:rPr>
                <w:rFonts w:ascii="Arial" w:hAnsi="Arial" w:cs="Arial"/>
                <w:sz w:val="20"/>
                <w:szCs w:val="20"/>
              </w:rPr>
              <w:t>ithin this position the &gt;</w:t>
            </w:r>
            <w:r w:rsidR="007C7599">
              <w:rPr>
                <w:rFonts w:ascii="Arial" w:hAnsi="Arial" w:cs="Arial"/>
                <w:sz w:val="20"/>
                <w:szCs w:val="20"/>
              </w:rPr>
              <w:t xml:space="preserve"> </w:t>
            </w:r>
            <w:r w:rsidRPr="00ED6E3C">
              <w:rPr>
                <w:rFonts w:ascii="Arial" w:hAnsi="Arial" w:cs="Arial"/>
                <w:sz w:val="20"/>
                <w:szCs w:val="20"/>
              </w:rPr>
              <w:t xml:space="preserve">60 days debt value </w:t>
            </w:r>
            <w:r w:rsidR="00FF085F">
              <w:rPr>
                <w:rFonts w:ascii="Arial" w:hAnsi="Arial" w:cs="Arial"/>
                <w:sz w:val="20"/>
                <w:szCs w:val="20"/>
              </w:rPr>
              <w:t>decreased by £</w:t>
            </w:r>
            <w:r w:rsidR="00566120">
              <w:rPr>
                <w:rFonts w:ascii="Arial" w:hAnsi="Arial" w:cs="Arial"/>
                <w:sz w:val="20"/>
                <w:szCs w:val="20"/>
              </w:rPr>
              <w:t>0.</w:t>
            </w:r>
            <w:r w:rsidR="00C529F5">
              <w:rPr>
                <w:rFonts w:ascii="Arial" w:hAnsi="Arial" w:cs="Arial"/>
                <w:sz w:val="20"/>
                <w:szCs w:val="20"/>
              </w:rPr>
              <w:t>8</w:t>
            </w:r>
            <w:r w:rsidR="00FF085F">
              <w:rPr>
                <w:rFonts w:ascii="Arial" w:hAnsi="Arial" w:cs="Arial"/>
                <w:sz w:val="20"/>
                <w:szCs w:val="20"/>
              </w:rPr>
              <w:t>m largely due to payment</w:t>
            </w:r>
            <w:r w:rsidR="00566120">
              <w:rPr>
                <w:rFonts w:ascii="Arial" w:hAnsi="Arial" w:cs="Arial"/>
                <w:sz w:val="20"/>
                <w:szCs w:val="20"/>
              </w:rPr>
              <w:t>s</w:t>
            </w:r>
            <w:r w:rsidR="00FF085F">
              <w:rPr>
                <w:rFonts w:ascii="Arial" w:hAnsi="Arial" w:cs="Arial"/>
                <w:sz w:val="20"/>
                <w:szCs w:val="20"/>
              </w:rPr>
              <w:t xml:space="preserve"> </w:t>
            </w:r>
            <w:r w:rsidR="00566120">
              <w:rPr>
                <w:rFonts w:ascii="Arial" w:hAnsi="Arial" w:cs="Arial"/>
                <w:sz w:val="20"/>
                <w:szCs w:val="20"/>
              </w:rPr>
              <w:t xml:space="preserve">received </w:t>
            </w:r>
            <w:r w:rsidR="00FF085F">
              <w:rPr>
                <w:rFonts w:ascii="Arial" w:hAnsi="Arial" w:cs="Arial"/>
                <w:sz w:val="20"/>
                <w:szCs w:val="20"/>
              </w:rPr>
              <w:t>from K</w:t>
            </w:r>
            <w:r w:rsidR="00C529F5">
              <w:rPr>
                <w:rFonts w:ascii="Arial" w:hAnsi="Arial" w:cs="Arial"/>
                <w:sz w:val="20"/>
                <w:szCs w:val="20"/>
              </w:rPr>
              <w:t>M</w:t>
            </w:r>
            <w:r w:rsidR="00FF085F">
              <w:rPr>
                <w:rFonts w:ascii="Arial" w:hAnsi="Arial" w:cs="Arial"/>
                <w:sz w:val="20"/>
                <w:szCs w:val="20"/>
              </w:rPr>
              <w:t>O</w:t>
            </w:r>
            <w:r w:rsidR="00C529F5">
              <w:rPr>
                <w:rFonts w:ascii="Arial" w:hAnsi="Arial" w:cs="Arial"/>
                <w:sz w:val="20"/>
                <w:szCs w:val="20"/>
              </w:rPr>
              <w:t xml:space="preserve"> and Qatar</w:t>
            </w:r>
            <w:r w:rsidR="00566120">
              <w:rPr>
                <w:rFonts w:ascii="Arial" w:hAnsi="Arial" w:cs="Arial"/>
                <w:sz w:val="20"/>
                <w:szCs w:val="20"/>
              </w:rPr>
              <w:t>.</w:t>
            </w:r>
          </w:p>
          <w:p w14:paraId="1DAE1723" w14:textId="287B5E03" w:rsidR="006515F7" w:rsidRPr="00302229" w:rsidRDefault="00553D54" w:rsidP="00A963A7">
            <w:pPr>
              <w:spacing w:after="120"/>
              <w:jc w:val="both"/>
            </w:pPr>
            <w:r>
              <w:rPr>
                <w:rFonts w:ascii="Arial" w:hAnsi="Arial" w:cs="Arial"/>
                <w:sz w:val="20"/>
                <w:szCs w:val="20"/>
              </w:rPr>
              <w:t>Please s</w:t>
            </w:r>
            <w:r w:rsidR="00D667FC">
              <w:rPr>
                <w:rFonts w:ascii="Arial" w:hAnsi="Arial" w:cs="Arial"/>
                <w:sz w:val="20"/>
                <w:szCs w:val="20"/>
              </w:rPr>
              <w:t>ee</w:t>
            </w:r>
            <w:r w:rsidR="00D94716">
              <w:rPr>
                <w:rFonts w:ascii="Arial" w:hAnsi="Arial" w:cs="Arial"/>
                <w:sz w:val="20"/>
                <w:szCs w:val="20"/>
              </w:rPr>
              <w:t xml:space="preserve"> Annex </w:t>
            </w:r>
            <w:r w:rsidR="001E0819">
              <w:rPr>
                <w:rFonts w:ascii="Arial" w:hAnsi="Arial" w:cs="Arial"/>
                <w:sz w:val="20"/>
                <w:szCs w:val="20"/>
              </w:rPr>
              <w:t>J</w:t>
            </w:r>
            <w:r w:rsidR="00D94716">
              <w:rPr>
                <w:rFonts w:ascii="Arial" w:hAnsi="Arial" w:cs="Arial"/>
                <w:sz w:val="20"/>
                <w:szCs w:val="20"/>
              </w:rPr>
              <w:t xml:space="preserve"> for Embassy Debt analysis for the last 12 months</w:t>
            </w:r>
            <w:r w:rsidR="00DA50DA">
              <w:rPr>
                <w:rFonts w:ascii="Arial" w:hAnsi="Arial" w:cs="Arial"/>
                <w:sz w:val="20"/>
                <w:szCs w:val="20"/>
              </w:rPr>
              <w:t xml:space="preserve"> (</w:t>
            </w:r>
            <w:r>
              <w:rPr>
                <w:rFonts w:ascii="Arial" w:hAnsi="Arial" w:cs="Arial"/>
                <w:sz w:val="20"/>
                <w:szCs w:val="20"/>
              </w:rPr>
              <w:t>noting</w:t>
            </w:r>
            <w:r w:rsidR="00DA50DA">
              <w:rPr>
                <w:rFonts w:ascii="Arial" w:hAnsi="Arial" w:cs="Arial"/>
                <w:sz w:val="20"/>
                <w:szCs w:val="20"/>
              </w:rPr>
              <w:t xml:space="preserve"> that there are minor reconciliation differences due to self-funding elements). </w:t>
            </w:r>
          </w:p>
        </w:tc>
      </w:tr>
      <w:tr w:rsidR="006515F7" w:rsidRPr="000420F5" w14:paraId="53F63E67" w14:textId="77777777" w:rsidTr="004C1F1D">
        <w:trPr>
          <w:trHeight w:val="808"/>
        </w:trPr>
        <w:tc>
          <w:tcPr>
            <w:tcW w:w="1516" w:type="dxa"/>
          </w:tcPr>
          <w:p w14:paraId="19835337" w14:textId="77777777" w:rsidR="006515F7" w:rsidRPr="000420F5" w:rsidRDefault="006515F7" w:rsidP="004C1F1D">
            <w:pPr>
              <w:spacing w:after="0"/>
              <w:jc w:val="center"/>
              <w:rPr>
                <w:rFonts w:ascii="Arial" w:hAnsi="Arial" w:cs="Arial"/>
                <w:b/>
                <w:sz w:val="20"/>
                <w:szCs w:val="20"/>
              </w:rPr>
            </w:pPr>
            <w:r w:rsidRPr="000420F5">
              <w:rPr>
                <w:rFonts w:ascii="Arial" w:hAnsi="Arial" w:cs="Arial"/>
                <w:b/>
                <w:sz w:val="20"/>
                <w:szCs w:val="20"/>
              </w:rPr>
              <w:t>Trade Creditors</w:t>
            </w:r>
          </w:p>
        </w:tc>
        <w:tc>
          <w:tcPr>
            <w:tcW w:w="1398" w:type="dxa"/>
          </w:tcPr>
          <w:p w14:paraId="5E1C2471" w14:textId="70FFA944" w:rsidR="006515F7" w:rsidRPr="000420F5" w:rsidRDefault="006515F7" w:rsidP="004C1F1D">
            <w:pPr>
              <w:spacing w:after="0" w:line="240" w:lineRule="auto"/>
              <w:jc w:val="center"/>
              <w:rPr>
                <w:rFonts w:ascii="Arial" w:hAnsi="Arial" w:cs="Arial"/>
                <w:b/>
                <w:sz w:val="20"/>
                <w:szCs w:val="20"/>
              </w:rPr>
            </w:pPr>
            <w:r w:rsidRPr="000420F5">
              <w:rPr>
                <w:rFonts w:ascii="Arial" w:hAnsi="Arial" w:cs="Arial"/>
                <w:b/>
                <w:sz w:val="20"/>
                <w:szCs w:val="20"/>
              </w:rPr>
              <w:t>-£</w:t>
            </w:r>
            <w:r w:rsidR="00C529F5">
              <w:rPr>
                <w:rFonts w:ascii="Arial" w:hAnsi="Arial" w:cs="Arial"/>
                <w:b/>
                <w:sz w:val="20"/>
                <w:szCs w:val="20"/>
              </w:rPr>
              <w:t>12.5</w:t>
            </w:r>
            <w:r w:rsidRPr="000420F5">
              <w:rPr>
                <w:rFonts w:ascii="Arial" w:hAnsi="Arial" w:cs="Arial"/>
                <w:b/>
                <w:sz w:val="20"/>
                <w:szCs w:val="20"/>
              </w:rPr>
              <w:t>m</w:t>
            </w:r>
          </w:p>
          <w:p w14:paraId="78AEFD7B" w14:textId="0BB710D5" w:rsidR="006515F7" w:rsidRPr="000420F5" w:rsidRDefault="006515F7" w:rsidP="00192DB5">
            <w:pPr>
              <w:spacing w:after="0" w:line="240" w:lineRule="auto"/>
              <w:jc w:val="center"/>
              <w:rPr>
                <w:rFonts w:ascii="Arial" w:hAnsi="Arial" w:cs="Arial"/>
                <w:b/>
                <w:sz w:val="20"/>
                <w:szCs w:val="20"/>
              </w:rPr>
            </w:pPr>
            <w:r w:rsidRPr="000420F5">
              <w:rPr>
                <w:rFonts w:ascii="Arial" w:hAnsi="Arial" w:cs="Arial"/>
                <w:b/>
                <w:sz w:val="20"/>
                <w:szCs w:val="20"/>
              </w:rPr>
              <w:t>(-£</w:t>
            </w:r>
            <w:r w:rsidR="00C529F5">
              <w:rPr>
                <w:rFonts w:ascii="Arial" w:hAnsi="Arial" w:cs="Arial"/>
                <w:b/>
                <w:sz w:val="20"/>
                <w:szCs w:val="20"/>
              </w:rPr>
              <w:t>9.0</w:t>
            </w:r>
            <w:r w:rsidR="00E36FD0">
              <w:rPr>
                <w:rFonts w:ascii="Arial" w:hAnsi="Arial" w:cs="Arial"/>
                <w:b/>
                <w:sz w:val="20"/>
                <w:szCs w:val="20"/>
              </w:rPr>
              <w:t>m</w:t>
            </w:r>
            <w:r w:rsidRPr="000420F5">
              <w:rPr>
                <w:rFonts w:ascii="Arial" w:hAnsi="Arial" w:cs="Arial"/>
                <w:b/>
                <w:sz w:val="20"/>
                <w:szCs w:val="20"/>
              </w:rPr>
              <w:t>)</w:t>
            </w:r>
          </w:p>
        </w:tc>
        <w:tc>
          <w:tcPr>
            <w:tcW w:w="6984" w:type="dxa"/>
          </w:tcPr>
          <w:p w14:paraId="6C3F503E" w14:textId="2A579881" w:rsidR="006515F7" w:rsidRPr="000420F5" w:rsidRDefault="006515F7" w:rsidP="00192DB5">
            <w:pPr>
              <w:spacing w:after="120"/>
              <w:jc w:val="both"/>
              <w:rPr>
                <w:rFonts w:ascii="Arial" w:hAnsi="Arial" w:cs="Arial"/>
                <w:sz w:val="20"/>
                <w:szCs w:val="20"/>
              </w:rPr>
            </w:pPr>
            <w:r>
              <w:rPr>
                <w:rFonts w:ascii="Arial" w:hAnsi="Arial" w:cs="Arial"/>
                <w:sz w:val="20"/>
                <w:szCs w:val="20"/>
              </w:rPr>
              <w:t>The approved creditor balance is £</w:t>
            </w:r>
            <w:r w:rsidR="00C529F5">
              <w:rPr>
                <w:rFonts w:ascii="Arial" w:hAnsi="Arial" w:cs="Arial"/>
                <w:sz w:val="20"/>
                <w:szCs w:val="20"/>
              </w:rPr>
              <w:t>4.4</w:t>
            </w:r>
            <w:r w:rsidR="00A963A7">
              <w:rPr>
                <w:rFonts w:ascii="Arial" w:hAnsi="Arial" w:cs="Arial"/>
                <w:sz w:val="20"/>
                <w:szCs w:val="20"/>
              </w:rPr>
              <w:t xml:space="preserve">m </w:t>
            </w:r>
            <w:r w:rsidR="00C430EA">
              <w:rPr>
                <w:rFonts w:ascii="Arial" w:hAnsi="Arial" w:cs="Arial"/>
                <w:sz w:val="20"/>
                <w:szCs w:val="20"/>
              </w:rPr>
              <w:t>below</w:t>
            </w:r>
            <w:r>
              <w:rPr>
                <w:rFonts w:ascii="Arial" w:hAnsi="Arial" w:cs="Arial"/>
                <w:sz w:val="20"/>
                <w:szCs w:val="20"/>
              </w:rPr>
              <w:t xml:space="preserve"> plan</w:t>
            </w:r>
            <w:r w:rsidR="00907081">
              <w:rPr>
                <w:rFonts w:ascii="Arial" w:hAnsi="Arial" w:cs="Arial"/>
                <w:sz w:val="20"/>
                <w:szCs w:val="20"/>
              </w:rPr>
              <w:t>.</w:t>
            </w:r>
            <w:r w:rsidR="00F3289B">
              <w:rPr>
                <w:rFonts w:ascii="Arial" w:hAnsi="Arial" w:cs="Arial"/>
                <w:sz w:val="20"/>
                <w:szCs w:val="20"/>
              </w:rPr>
              <w:t xml:space="preserve"> </w:t>
            </w:r>
            <w:r>
              <w:rPr>
                <w:rFonts w:ascii="Arial" w:hAnsi="Arial" w:cs="Arial"/>
                <w:sz w:val="20"/>
                <w:szCs w:val="20"/>
              </w:rPr>
              <w:t>A</w:t>
            </w:r>
            <w:r w:rsidRPr="00006E6F">
              <w:rPr>
                <w:rFonts w:ascii="Arial" w:hAnsi="Arial" w:cs="Arial"/>
                <w:sz w:val="20"/>
                <w:szCs w:val="20"/>
              </w:rPr>
              <w:t xml:space="preserve">pproved creditor </w:t>
            </w:r>
            <w:r w:rsidRPr="002E4C0B">
              <w:rPr>
                <w:rFonts w:ascii="Arial" w:hAnsi="Arial" w:cs="Arial"/>
                <w:sz w:val="20"/>
                <w:szCs w:val="20"/>
              </w:rPr>
              <w:t xml:space="preserve">invoices </w:t>
            </w:r>
            <w:r w:rsidR="00022708">
              <w:rPr>
                <w:rFonts w:ascii="Arial" w:hAnsi="Arial" w:cs="Arial"/>
                <w:sz w:val="20"/>
                <w:szCs w:val="20"/>
              </w:rPr>
              <w:t xml:space="preserve">are </w:t>
            </w:r>
            <w:r>
              <w:rPr>
                <w:rFonts w:ascii="Arial" w:hAnsi="Arial" w:cs="Arial"/>
                <w:sz w:val="20"/>
                <w:szCs w:val="20"/>
              </w:rPr>
              <w:t xml:space="preserve">only </w:t>
            </w:r>
            <w:r w:rsidRPr="002E4C0B">
              <w:rPr>
                <w:rFonts w:ascii="Arial" w:hAnsi="Arial" w:cs="Arial"/>
                <w:sz w:val="20"/>
                <w:szCs w:val="20"/>
              </w:rPr>
              <w:t>paid in line with maximum payment terms.</w:t>
            </w:r>
            <w:r w:rsidRPr="000420F5">
              <w:rPr>
                <w:rFonts w:ascii="Arial" w:hAnsi="Arial" w:cs="Arial"/>
                <w:sz w:val="20"/>
                <w:szCs w:val="20"/>
              </w:rPr>
              <w:t xml:space="preserve"> The balance at </w:t>
            </w:r>
            <w:r w:rsidR="00553D54">
              <w:rPr>
                <w:rFonts w:ascii="Arial" w:hAnsi="Arial" w:cs="Arial"/>
                <w:sz w:val="20"/>
                <w:szCs w:val="20"/>
              </w:rPr>
              <w:t>3</w:t>
            </w:r>
            <w:r w:rsidR="00C529F5">
              <w:rPr>
                <w:rFonts w:ascii="Arial" w:hAnsi="Arial" w:cs="Arial"/>
                <w:sz w:val="20"/>
                <w:szCs w:val="20"/>
              </w:rPr>
              <w:t>1 October</w:t>
            </w:r>
            <w:r>
              <w:rPr>
                <w:rFonts w:ascii="Arial" w:hAnsi="Arial" w:cs="Arial"/>
                <w:sz w:val="20"/>
                <w:szCs w:val="20"/>
              </w:rPr>
              <w:t xml:space="preserve"> </w:t>
            </w:r>
            <w:r w:rsidRPr="000420F5">
              <w:rPr>
                <w:rFonts w:ascii="Arial" w:hAnsi="Arial" w:cs="Arial"/>
                <w:sz w:val="20"/>
                <w:szCs w:val="20"/>
              </w:rPr>
              <w:t xml:space="preserve">is equivalent to </w:t>
            </w:r>
            <w:r w:rsidR="00C529F5">
              <w:rPr>
                <w:rFonts w:ascii="Arial" w:hAnsi="Arial" w:cs="Arial"/>
                <w:sz w:val="20"/>
                <w:szCs w:val="20"/>
              </w:rPr>
              <w:t>25</w:t>
            </w:r>
            <w:r w:rsidRPr="000420F5">
              <w:rPr>
                <w:rFonts w:ascii="Arial" w:hAnsi="Arial" w:cs="Arial"/>
                <w:sz w:val="20"/>
                <w:szCs w:val="20"/>
              </w:rPr>
              <w:t xml:space="preserve"> (</w:t>
            </w:r>
            <w:r>
              <w:rPr>
                <w:rFonts w:ascii="Arial" w:hAnsi="Arial" w:cs="Arial"/>
                <w:sz w:val="20"/>
                <w:szCs w:val="20"/>
              </w:rPr>
              <w:t>3</w:t>
            </w:r>
            <w:r w:rsidR="00C529F5">
              <w:rPr>
                <w:rFonts w:ascii="Arial" w:hAnsi="Arial" w:cs="Arial"/>
                <w:sz w:val="20"/>
                <w:szCs w:val="20"/>
              </w:rPr>
              <w:t>0 September</w:t>
            </w:r>
            <w:r w:rsidR="00E50BA3">
              <w:rPr>
                <w:rFonts w:ascii="Arial" w:hAnsi="Arial" w:cs="Arial"/>
                <w:sz w:val="20"/>
                <w:szCs w:val="20"/>
              </w:rPr>
              <w:t xml:space="preserve"> </w:t>
            </w:r>
            <w:r w:rsidRPr="000420F5">
              <w:rPr>
                <w:rFonts w:ascii="Arial" w:hAnsi="Arial" w:cs="Arial"/>
                <w:sz w:val="20"/>
                <w:szCs w:val="20"/>
              </w:rPr>
              <w:t xml:space="preserve">– </w:t>
            </w:r>
            <w:r w:rsidR="00462EA7">
              <w:rPr>
                <w:rFonts w:ascii="Arial" w:hAnsi="Arial" w:cs="Arial"/>
                <w:sz w:val="20"/>
                <w:szCs w:val="20"/>
              </w:rPr>
              <w:t>1</w:t>
            </w:r>
            <w:r w:rsidR="00C529F5">
              <w:rPr>
                <w:rFonts w:ascii="Arial" w:hAnsi="Arial" w:cs="Arial"/>
                <w:sz w:val="20"/>
                <w:szCs w:val="20"/>
              </w:rPr>
              <w:t>8.0</w:t>
            </w:r>
            <w:r w:rsidRPr="000420F5">
              <w:rPr>
                <w:rFonts w:ascii="Arial" w:hAnsi="Arial" w:cs="Arial"/>
                <w:sz w:val="20"/>
                <w:szCs w:val="20"/>
              </w:rPr>
              <w:t>) days’ non-pay cost</w:t>
            </w:r>
            <w:r w:rsidR="00553D54">
              <w:rPr>
                <w:rFonts w:ascii="Arial" w:hAnsi="Arial" w:cs="Arial"/>
                <w:sz w:val="20"/>
                <w:szCs w:val="20"/>
              </w:rPr>
              <w:t xml:space="preserve"> (based on the 2019/20 plan)</w:t>
            </w:r>
            <w:r w:rsidRPr="000420F5">
              <w:rPr>
                <w:rFonts w:ascii="Arial" w:hAnsi="Arial" w:cs="Arial"/>
                <w:sz w:val="20"/>
                <w:szCs w:val="20"/>
              </w:rPr>
              <w:t>.</w:t>
            </w:r>
          </w:p>
        </w:tc>
      </w:tr>
      <w:tr w:rsidR="006515F7" w:rsidRPr="000420F5" w14:paraId="6CA143AA" w14:textId="77777777" w:rsidTr="004C1F1D">
        <w:trPr>
          <w:trHeight w:val="921"/>
        </w:trPr>
        <w:tc>
          <w:tcPr>
            <w:tcW w:w="1516" w:type="dxa"/>
          </w:tcPr>
          <w:p w14:paraId="28C4D434" w14:textId="77777777" w:rsidR="006515F7" w:rsidRPr="000420F5" w:rsidRDefault="006515F7" w:rsidP="004C1F1D">
            <w:pPr>
              <w:spacing w:after="0"/>
              <w:jc w:val="center"/>
              <w:rPr>
                <w:rFonts w:ascii="Arial" w:hAnsi="Arial" w:cs="Arial"/>
                <w:b/>
                <w:sz w:val="20"/>
                <w:szCs w:val="20"/>
              </w:rPr>
            </w:pPr>
            <w:r w:rsidRPr="000420F5">
              <w:rPr>
                <w:rFonts w:ascii="Arial" w:hAnsi="Arial" w:cs="Arial"/>
                <w:b/>
                <w:sz w:val="20"/>
                <w:szCs w:val="20"/>
              </w:rPr>
              <w:t>Capital spend</w:t>
            </w:r>
          </w:p>
          <w:p w14:paraId="220DA01D" w14:textId="2810EC40" w:rsidR="006515F7" w:rsidRPr="000420F5" w:rsidRDefault="00D94716" w:rsidP="004C1F1D">
            <w:pPr>
              <w:spacing w:after="0"/>
              <w:jc w:val="center"/>
              <w:rPr>
                <w:rFonts w:ascii="Arial" w:hAnsi="Arial" w:cs="Arial"/>
                <w:b/>
                <w:sz w:val="20"/>
                <w:szCs w:val="20"/>
              </w:rPr>
            </w:pPr>
            <w:r>
              <w:rPr>
                <w:rFonts w:ascii="Arial" w:hAnsi="Arial" w:cs="Arial"/>
                <w:b/>
                <w:sz w:val="20"/>
                <w:szCs w:val="20"/>
              </w:rPr>
              <w:t xml:space="preserve">(Annex </w:t>
            </w:r>
            <w:r w:rsidR="001E0819">
              <w:rPr>
                <w:rFonts w:ascii="Arial" w:hAnsi="Arial" w:cs="Arial"/>
                <w:b/>
                <w:sz w:val="20"/>
                <w:szCs w:val="20"/>
              </w:rPr>
              <w:t>L</w:t>
            </w:r>
            <w:r w:rsidR="006515F7" w:rsidRPr="000420F5">
              <w:rPr>
                <w:rFonts w:ascii="Arial" w:hAnsi="Arial" w:cs="Arial"/>
                <w:b/>
                <w:sz w:val="20"/>
                <w:szCs w:val="20"/>
              </w:rPr>
              <w:t>)</w:t>
            </w:r>
          </w:p>
        </w:tc>
        <w:tc>
          <w:tcPr>
            <w:tcW w:w="1398" w:type="dxa"/>
          </w:tcPr>
          <w:p w14:paraId="7FC44E79" w14:textId="34B1B8CD" w:rsidR="006515F7" w:rsidRPr="000420F5" w:rsidRDefault="006515F7" w:rsidP="004C1F1D">
            <w:pPr>
              <w:spacing w:after="0" w:line="240" w:lineRule="auto"/>
              <w:jc w:val="center"/>
              <w:rPr>
                <w:rFonts w:ascii="Arial" w:hAnsi="Arial" w:cs="Arial"/>
                <w:b/>
                <w:sz w:val="20"/>
                <w:szCs w:val="20"/>
              </w:rPr>
            </w:pPr>
            <w:r w:rsidRPr="000420F5">
              <w:rPr>
                <w:rFonts w:ascii="Arial" w:hAnsi="Arial" w:cs="Arial"/>
                <w:b/>
                <w:sz w:val="20"/>
                <w:szCs w:val="20"/>
              </w:rPr>
              <w:t>£</w:t>
            </w:r>
            <w:r w:rsidR="00FC54AF">
              <w:rPr>
                <w:rFonts w:ascii="Arial" w:hAnsi="Arial" w:cs="Arial"/>
                <w:b/>
                <w:sz w:val="20"/>
                <w:szCs w:val="20"/>
              </w:rPr>
              <w:t>9.0</w:t>
            </w:r>
            <w:r>
              <w:rPr>
                <w:rFonts w:ascii="Arial" w:hAnsi="Arial" w:cs="Arial"/>
                <w:b/>
                <w:sz w:val="20"/>
                <w:szCs w:val="20"/>
              </w:rPr>
              <w:t>m</w:t>
            </w:r>
            <w:r w:rsidRPr="000420F5">
              <w:rPr>
                <w:rFonts w:ascii="Arial" w:hAnsi="Arial" w:cs="Arial"/>
                <w:b/>
                <w:sz w:val="20"/>
                <w:szCs w:val="20"/>
              </w:rPr>
              <w:t xml:space="preserve"> YTD</w:t>
            </w:r>
          </w:p>
          <w:p w14:paraId="29038546" w14:textId="77777777" w:rsidR="006515F7" w:rsidRPr="000420F5" w:rsidRDefault="006515F7" w:rsidP="004C1F1D">
            <w:pPr>
              <w:spacing w:after="0" w:line="240" w:lineRule="auto"/>
              <w:jc w:val="center"/>
              <w:rPr>
                <w:rFonts w:ascii="Arial" w:hAnsi="Arial" w:cs="Arial"/>
                <w:b/>
                <w:sz w:val="20"/>
                <w:szCs w:val="20"/>
              </w:rPr>
            </w:pPr>
          </w:p>
        </w:tc>
        <w:tc>
          <w:tcPr>
            <w:tcW w:w="6984" w:type="dxa"/>
          </w:tcPr>
          <w:p w14:paraId="1958FECA" w14:textId="6A2350EC" w:rsidR="00866D84" w:rsidRDefault="006515F7" w:rsidP="00866D84">
            <w:pPr>
              <w:spacing w:after="120"/>
              <w:jc w:val="both"/>
              <w:rPr>
                <w:rFonts w:ascii="Arial" w:hAnsi="Arial" w:cs="Arial"/>
                <w:sz w:val="20"/>
                <w:szCs w:val="20"/>
              </w:rPr>
            </w:pPr>
            <w:r w:rsidRPr="000420F5">
              <w:rPr>
                <w:rFonts w:ascii="Arial" w:hAnsi="Arial" w:cs="Arial"/>
                <w:sz w:val="20"/>
                <w:szCs w:val="20"/>
              </w:rPr>
              <w:t xml:space="preserve">Expenditure </w:t>
            </w:r>
            <w:r w:rsidR="003C0FF8">
              <w:rPr>
                <w:rFonts w:ascii="Arial" w:hAnsi="Arial" w:cs="Arial"/>
                <w:sz w:val="20"/>
                <w:szCs w:val="20"/>
              </w:rPr>
              <w:t xml:space="preserve">to </w:t>
            </w:r>
            <w:r w:rsidRPr="000420F5">
              <w:rPr>
                <w:rFonts w:ascii="Arial" w:hAnsi="Arial" w:cs="Arial"/>
                <w:sz w:val="20"/>
                <w:szCs w:val="20"/>
              </w:rPr>
              <w:t>M</w:t>
            </w:r>
            <w:r w:rsidR="0054049C">
              <w:rPr>
                <w:rFonts w:ascii="Arial" w:hAnsi="Arial" w:cs="Arial"/>
                <w:sz w:val="20"/>
                <w:szCs w:val="20"/>
              </w:rPr>
              <w:t>0</w:t>
            </w:r>
            <w:r w:rsidR="00FC54AF">
              <w:rPr>
                <w:rFonts w:ascii="Arial" w:hAnsi="Arial" w:cs="Arial"/>
                <w:sz w:val="20"/>
                <w:szCs w:val="20"/>
              </w:rPr>
              <w:t>7</w:t>
            </w:r>
            <w:r w:rsidRPr="000420F5">
              <w:rPr>
                <w:rFonts w:ascii="Arial" w:hAnsi="Arial" w:cs="Arial"/>
                <w:sz w:val="20"/>
                <w:szCs w:val="20"/>
              </w:rPr>
              <w:t xml:space="preserve"> </w:t>
            </w:r>
            <w:r w:rsidR="003C0FF8">
              <w:rPr>
                <w:rFonts w:ascii="Arial" w:hAnsi="Arial" w:cs="Arial"/>
                <w:sz w:val="20"/>
                <w:szCs w:val="20"/>
              </w:rPr>
              <w:t>is</w:t>
            </w:r>
            <w:r w:rsidRPr="000420F5">
              <w:rPr>
                <w:rFonts w:ascii="Arial" w:hAnsi="Arial" w:cs="Arial"/>
                <w:sz w:val="20"/>
                <w:szCs w:val="20"/>
              </w:rPr>
              <w:t xml:space="preserve"> £</w:t>
            </w:r>
            <w:r w:rsidR="00FC54AF">
              <w:rPr>
                <w:rFonts w:ascii="Arial" w:hAnsi="Arial" w:cs="Arial"/>
                <w:sz w:val="20"/>
                <w:szCs w:val="20"/>
              </w:rPr>
              <w:t>9.0</w:t>
            </w:r>
            <w:r w:rsidR="00C430EA">
              <w:rPr>
                <w:rFonts w:ascii="Arial" w:hAnsi="Arial" w:cs="Arial"/>
                <w:sz w:val="20"/>
                <w:szCs w:val="20"/>
              </w:rPr>
              <w:t>m</w:t>
            </w:r>
            <w:r w:rsidR="00302229">
              <w:rPr>
                <w:rFonts w:ascii="Arial" w:hAnsi="Arial" w:cs="Arial"/>
                <w:sz w:val="20"/>
                <w:szCs w:val="20"/>
              </w:rPr>
              <w:t>, £</w:t>
            </w:r>
            <w:r w:rsidR="00993FBE">
              <w:rPr>
                <w:rFonts w:ascii="Arial" w:hAnsi="Arial" w:cs="Arial"/>
                <w:sz w:val="20"/>
                <w:szCs w:val="20"/>
              </w:rPr>
              <w:t>8.2</w:t>
            </w:r>
            <w:r w:rsidR="005E5730">
              <w:rPr>
                <w:rFonts w:ascii="Arial" w:hAnsi="Arial" w:cs="Arial"/>
                <w:sz w:val="20"/>
                <w:szCs w:val="20"/>
              </w:rPr>
              <w:t xml:space="preserve">m </w:t>
            </w:r>
            <w:r w:rsidR="00AB2812">
              <w:rPr>
                <w:rFonts w:ascii="Arial" w:hAnsi="Arial" w:cs="Arial"/>
                <w:sz w:val="20"/>
                <w:szCs w:val="20"/>
              </w:rPr>
              <w:t>behind</w:t>
            </w:r>
            <w:r w:rsidR="00302229">
              <w:rPr>
                <w:rFonts w:ascii="Arial" w:hAnsi="Arial" w:cs="Arial"/>
                <w:sz w:val="20"/>
                <w:szCs w:val="20"/>
              </w:rPr>
              <w:t xml:space="preserve"> </w:t>
            </w:r>
            <w:r w:rsidR="008E782F">
              <w:rPr>
                <w:rFonts w:ascii="Arial" w:hAnsi="Arial" w:cs="Arial"/>
                <w:sz w:val="20"/>
                <w:szCs w:val="20"/>
              </w:rPr>
              <w:t xml:space="preserve">original </w:t>
            </w:r>
            <w:r w:rsidR="007B2C1D">
              <w:rPr>
                <w:rFonts w:ascii="Arial" w:hAnsi="Arial" w:cs="Arial"/>
                <w:sz w:val="20"/>
                <w:szCs w:val="20"/>
              </w:rPr>
              <w:t>plan</w:t>
            </w:r>
            <w:r w:rsidR="007C7599">
              <w:rPr>
                <w:rFonts w:ascii="Arial" w:hAnsi="Arial" w:cs="Arial"/>
                <w:sz w:val="20"/>
                <w:szCs w:val="20"/>
              </w:rPr>
              <w:t xml:space="preserve"> principally due to the delayed work on the new imaging centre</w:t>
            </w:r>
            <w:bookmarkStart w:id="5" w:name="_Hlk518917913"/>
            <w:r w:rsidR="00993FBE">
              <w:rPr>
                <w:rFonts w:ascii="Arial" w:hAnsi="Arial" w:cs="Arial"/>
                <w:sz w:val="20"/>
                <w:szCs w:val="20"/>
              </w:rPr>
              <w:t>.</w:t>
            </w:r>
            <w:r w:rsidR="008514B8">
              <w:rPr>
                <w:rFonts w:ascii="Arial" w:hAnsi="Arial" w:cs="Arial"/>
                <w:sz w:val="20"/>
                <w:szCs w:val="20"/>
              </w:rPr>
              <w:t xml:space="preserve"> </w:t>
            </w:r>
            <w:r w:rsidR="007C7599">
              <w:rPr>
                <w:rFonts w:ascii="Arial" w:hAnsi="Arial" w:cs="Arial"/>
                <w:sz w:val="20"/>
                <w:szCs w:val="20"/>
              </w:rPr>
              <w:t xml:space="preserve">In addition, </w:t>
            </w:r>
            <w:r w:rsidR="002F1317">
              <w:rPr>
                <w:rFonts w:ascii="Arial" w:hAnsi="Arial" w:cs="Arial"/>
                <w:sz w:val="20"/>
                <w:szCs w:val="20"/>
              </w:rPr>
              <w:t>KHP spend is currently being expensed (£</w:t>
            </w:r>
            <w:r w:rsidR="008E782F">
              <w:rPr>
                <w:rFonts w:ascii="Arial" w:hAnsi="Arial" w:cs="Arial"/>
                <w:sz w:val="20"/>
                <w:szCs w:val="20"/>
              </w:rPr>
              <w:t>1</w:t>
            </w:r>
            <w:r w:rsidR="002F1317">
              <w:rPr>
                <w:rFonts w:ascii="Arial" w:hAnsi="Arial" w:cs="Arial"/>
                <w:sz w:val="20"/>
                <w:szCs w:val="20"/>
              </w:rPr>
              <w:t>.</w:t>
            </w:r>
            <w:r w:rsidR="00993FBE">
              <w:rPr>
                <w:rFonts w:ascii="Arial" w:hAnsi="Arial" w:cs="Arial"/>
                <w:sz w:val="20"/>
                <w:szCs w:val="20"/>
              </w:rPr>
              <w:t>4</w:t>
            </w:r>
            <w:r w:rsidR="002F1317">
              <w:rPr>
                <w:rFonts w:ascii="Arial" w:hAnsi="Arial" w:cs="Arial"/>
                <w:sz w:val="20"/>
                <w:szCs w:val="20"/>
              </w:rPr>
              <w:t>m YTD) although this is in the capital budget.</w:t>
            </w:r>
          </w:p>
          <w:bookmarkEnd w:id="5"/>
          <w:p w14:paraId="6F034CAC" w14:textId="6D9F81C4" w:rsidR="006515F7" w:rsidRPr="000420F5" w:rsidRDefault="006515F7" w:rsidP="00866D84">
            <w:pPr>
              <w:spacing w:after="120"/>
              <w:jc w:val="both"/>
              <w:rPr>
                <w:rFonts w:ascii="Arial" w:hAnsi="Arial" w:cs="Arial"/>
                <w:sz w:val="20"/>
                <w:szCs w:val="20"/>
              </w:rPr>
            </w:pPr>
          </w:p>
        </w:tc>
      </w:tr>
    </w:tbl>
    <w:p w14:paraId="01DA9A47" w14:textId="77777777" w:rsidR="00A53E3B" w:rsidRDefault="00A53E3B" w:rsidP="00154156">
      <w:pPr>
        <w:spacing w:after="0"/>
        <w:jc w:val="center"/>
        <w:rPr>
          <w:rFonts w:ascii="Arial" w:hAnsi="Arial" w:cs="Arial"/>
          <w:b/>
        </w:rPr>
      </w:pPr>
    </w:p>
    <w:p w14:paraId="3A5D3EDB" w14:textId="77777777" w:rsidR="00A53E3B" w:rsidRDefault="00A53E3B" w:rsidP="00154156">
      <w:pPr>
        <w:spacing w:after="0"/>
        <w:jc w:val="center"/>
        <w:rPr>
          <w:rFonts w:ascii="Arial" w:hAnsi="Arial" w:cs="Arial"/>
          <w:b/>
        </w:rPr>
      </w:pPr>
    </w:p>
    <w:p w14:paraId="264136B7" w14:textId="77777777" w:rsidR="00A53E3B" w:rsidRDefault="00A53E3B" w:rsidP="00154156">
      <w:pPr>
        <w:spacing w:after="0"/>
        <w:jc w:val="center"/>
        <w:rPr>
          <w:rFonts w:ascii="Arial" w:hAnsi="Arial" w:cs="Arial"/>
          <w:b/>
        </w:rPr>
      </w:pPr>
    </w:p>
    <w:p w14:paraId="4FE99A3A" w14:textId="62FF9466" w:rsidR="00B937EC" w:rsidRDefault="00B937EC" w:rsidP="00061621">
      <w:pPr>
        <w:spacing w:after="0" w:line="240" w:lineRule="auto"/>
        <w:rPr>
          <w:rFonts w:ascii="Arial" w:hAnsi="Arial" w:cs="Arial"/>
          <w:b/>
        </w:rPr>
        <w:sectPr w:rsidR="00B937EC" w:rsidSect="00F51E48">
          <w:pgSz w:w="12240" w:h="15840"/>
          <w:pgMar w:top="993" w:right="1440" w:bottom="1079" w:left="1440" w:header="709" w:footer="709" w:gutter="0"/>
          <w:cols w:space="708"/>
          <w:docGrid w:linePitch="360"/>
        </w:sectPr>
      </w:pPr>
    </w:p>
    <w:p w14:paraId="4FCE8DB1" w14:textId="38930718" w:rsidR="0011190D" w:rsidRDefault="00B937EC" w:rsidP="00154156">
      <w:pPr>
        <w:spacing w:after="0"/>
        <w:jc w:val="center"/>
        <w:rPr>
          <w:rFonts w:ascii="Arial" w:hAnsi="Arial" w:cs="Arial"/>
          <w:b/>
        </w:rPr>
      </w:pPr>
      <w:r w:rsidRPr="00B937EC">
        <w:rPr>
          <w:noProof/>
          <w:highlight w:val="yellow"/>
        </w:rPr>
        <w:lastRenderedPageBreak/>
        <mc:AlternateContent>
          <mc:Choice Requires="wps">
            <w:drawing>
              <wp:anchor distT="0" distB="0" distL="114300" distR="114300" simplePos="0" relativeHeight="251645952" behindDoc="0" locked="0" layoutInCell="1" allowOverlap="1" wp14:anchorId="22C8CAD5" wp14:editId="1549B112">
                <wp:simplePos x="0" y="0"/>
                <wp:positionH relativeFrom="column">
                  <wp:posOffset>314325</wp:posOffset>
                </wp:positionH>
                <wp:positionV relativeFrom="paragraph">
                  <wp:posOffset>-11430</wp:posOffset>
                </wp:positionV>
                <wp:extent cx="6753225" cy="276225"/>
                <wp:effectExtent l="0" t="0" r="28575" b="28575"/>
                <wp:wrapNone/>
                <wp:docPr id="36" name="Text Box 36"/>
                <wp:cNvGraphicFramePr/>
                <a:graphic xmlns:a="http://schemas.openxmlformats.org/drawingml/2006/main">
                  <a:graphicData uri="http://schemas.microsoft.com/office/word/2010/wordprocessingShape">
                    <wps:wsp>
                      <wps:cNvSpPr txBox="1"/>
                      <wps:spPr>
                        <a:xfrm>
                          <a:off x="0" y="0"/>
                          <a:ext cx="6753225" cy="276225"/>
                        </a:xfrm>
                        <a:prstGeom prst="rect">
                          <a:avLst/>
                        </a:prstGeom>
                        <a:solidFill>
                          <a:schemeClr val="bg1">
                            <a:lumMod val="85000"/>
                          </a:schemeClr>
                        </a:solidFill>
                        <a:ln w="6350">
                          <a:solidFill>
                            <a:prstClr val="black"/>
                          </a:solidFill>
                        </a:ln>
                      </wps:spPr>
                      <wps:txbx>
                        <w:txbxContent>
                          <w:p w14:paraId="63DDC75C" w14:textId="77777777" w:rsidR="006B7307" w:rsidRDefault="006B7307" w:rsidP="00B937EC">
                            <w:pPr>
                              <w:jc w:val="center"/>
                            </w:pPr>
                            <w:r w:rsidRPr="000420F5">
                              <w:rPr>
                                <w:rFonts w:ascii="Arial" w:hAnsi="Arial" w:cs="Arial"/>
                                <w:b/>
                                <w:bCs/>
                              </w:rPr>
                              <w:t>Annex Ai – Detailed income and expenditure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C8CAD5" id="_x0000_t202" coordsize="21600,21600" o:spt="202" path="m,l,21600r21600,l21600,xe">
                <v:stroke joinstyle="miter"/>
                <v:path gradientshapeok="t" o:connecttype="rect"/>
              </v:shapetype>
              <v:shape id="Text Box 36" o:spid="_x0000_s1026" type="#_x0000_t202" style="position:absolute;left:0;text-align:left;margin-left:24.75pt;margin-top:-.9pt;width:531.75pt;height:21.7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" fillcolor="#d8d8d8 [2732]" strokeweight=".5pt">
                <v:textbox>
                  <w:txbxContent>
                    <w:p w14:paraId="63DDC75C" w14:textId="77777777" w:rsidR="006B7307" w:rsidRDefault="006B7307" w:rsidP="00B937EC">
                      <w:pPr>
                        <w:jc w:val="center"/>
                      </w:pPr>
                      <w:r w:rsidRPr="000420F5">
                        <w:rPr>
                          <w:rFonts w:ascii="Arial" w:hAnsi="Arial" w:cs="Arial"/>
                          <w:b/>
                          <w:bCs/>
                        </w:rPr>
                        <w:t>Annex Ai – Detailed income and expenditure statement</w:t>
                      </w:r>
                    </w:p>
                  </w:txbxContent>
                </v:textbox>
              </v:shape>
            </w:pict>
          </mc:Fallback>
        </mc:AlternateContent>
      </w:r>
    </w:p>
    <w:p w14:paraId="3F0FB759" w14:textId="10D0B472" w:rsidR="0011190D" w:rsidRDefault="0011190D" w:rsidP="00AE75F6">
      <w:pPr>
        <w:tabs>
          <w:tab w:val="left" w:pos="6285"/>
        </w:tabs>
        <w:rPr>
          <w:rFonts w:ascii="Arial" w:hAnsi="Arial" w:cs="Arial"/>
          <w:b/>
        </w:rPr>
      </w:pPr>
    </w:p>
    <w:p w14:paraId="7DCBE013" w14:textId="4D3C03B3" w:rsidR="00B44F4F" w:rsidRDefault="009C6A29" w:rsidP="00784667">
      <w:pPr>
        <w:tabs>
          <w:tab w:val="left" w:pos="6285"/>
        </w:tabs>
        <w:jc w:val="center"/>
        <w:rPr>
          <w:rFonts w:ascii="Arial" w:hAnsi="Arial" w:cs="Arial"/>
          <w:b/>
        </w:rPr>
        <w:sectPr w:rsidR="00B44F4F" w:rsidSect="00927174">
          <w:pgSz w:w="12240" w:h="15840"/>
          <w:pgMar w:top="567" w:right="284" w:bottom="284" w:left="567" w:header="709" w:footer="709" w:gutter="0"/>
          <w:cols w:space="708"/>
          <w:docGrid w:linePitch="360"/>
        </w:sectPr>
      </w:pPr>
      <w:r w:rsidRPr="009C6A29">
        <w:rPr>
          <w:noProof/>
        </w:rPr>
        <w:drawing>
          <wp:inline distT="0" distB="0" distL="0" distR="0" wp14:anchorId="7DE9524F" wp14:editId="1266BD47">
            <wp:extent cx="4315460" cy="8517834"/>
            <wp:effectExtent l="0" t="0" r="889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17025" cy="8520922"/>
                    </a:xfrm>
                    <a:prstGeom prst="rect">
                      <a:avLst/>
                    </a:prstGeom>
                    <a:noFill/>
                    <a:ln>
                      <a:noFill/>
                    </a:ln>
                  </pic:spPr>
                </pic:pic>
              </a:graphicData>
            </a:graphic>
          </wp:inline>
        </w:drawing>
      </w:r>
    </w:p>
    <w:tbl>
      <w:tblPr>
        <w:tblStyle w:val="TableGrid"/>
        <w:tblpPr w:leftFromText="180" w:rightFromText="180" w:vertAnchor="text" w:horzAnchor="margin" w:tblpXSpec="center" w:tblpY="63"/>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109"/>
      </w:tblGrid>
      <w:tr w:rsidR="00B937EC" w:rsidRPr="000420F5" w14:paraId="198B9AF7" w14:textId="77777777" w:rsidTr="00C32922">
        <w:trPr>
          <w:trHeight w:val="340"/>
        </w:trPr>
        <w:tc>
          <w:tcPr>
            <w:tcW w:w="11109" w:type="dxa"/>
            <w:shd w:val="clear" w:color="auto" w:fill="D9D9D9" w:themeFill="background1" w:themeFillShade="D9"/>
            <w:vAlign w:val="center"/>
          </w:tcPr>
          <w:p w14:paraId="0713B175" w14:textId="77777777" w:rsidR="00B937EC" w:rsidRPr="000420F5" w:rsidRDefault="00B937EC" w:rsidP="00B937EC">
            <w:pPr>
              <w:spacing w:after="0"/>
              <w:jc w:val="center"/>
              <w:rPr>
                <w:rFonts w:ascii="Arial" w:eastAsia="Arial Unicode MS" w:hAnsi="Arial" w:cs="Arial"/>
              </w:rPr>
            </w:pPr>
            <w:r w:rsidRPr="000420F5">
              <w:rPr>
                <w:rFonts w:ascii="Arial" w:hAnsi="Arial" w:cs="Arial"/>
                <w:b/>
                <w:bCs/>
              </w:rPr>
              <w:lastRenderedPageBreak/>
              <w:t xml:space="preserve">Annex </w:t>
            </w:r>
            <w:r>
              <w:rPr>
                <w:rFonts w:ascii="Arial" w:hAnsi="Arial" w:cs="Arial"/>
                <w:b/>
                <w:bCs/>
              </w:rPr>
              <w:t>B</w:t>
            </w:r>
            <w:r w:rsidRPr="000420F5">
              <w:rPr>
                <w:rFonts w:ascii="Arial" w:hAnsi="Arial" w:cs="Arial"/>
                <w:b/>
                <w:bCs/>
              </w:rPr>
              <w:t xml:space="preserve"> – </w:t>
            </w:r>
            <w:r>
              <w:rPr>
                <w:rFonts w:ascii="Arial" w:hAnsi="Arial" w:cs="Arial"/>
                <w:b/>
                <w:bCs/>
              </w:rPr>
              <w:t>Cost Improvement Programme</w:t>
            </w:r>
          </w:p>
        </w:tc>
      </w:tr>
    </w:tbl>
    <w:p w14:paraId="7C5164A3" w14:textId="77777777" w:rsidR="00BB7DC9" w:rsidRDefault="00BB7DC9" w:rsidP="00154156">
      <w:pPr>
        <w:spacing w:after="0"/>
        <w:jc w:val="center"/>
        <w:rPr>
          <w:rFonts w:ascii="Arial" w:hAnsi="Arial" w:cs="Arial"/>
          <w:b/>
        </w:rPr>
      </w:pPr>
    </w:p>
    <w:p w14:paraId="642A8247" w14:textId="0A77F8B4" w:rsidR="00454291" w:rsidRDefault="00454291" w:rsidP="00154156">
      <w:pPr>
        <w:spacing w:after="0"/>
        <w:jc w:val="center"/>
        <w:rPr>
          <w:rFonts w:ascii="Arial" w:hAnsi="Arial" w:cs="Arial"/>
          <w:b/>
        </w:rPr>
      </w:pPr>
    </w:p>
    <w:p w14:paraId="319AD2EC" w14:textId="2B4E2756" w:rsidR="00C226DC" w:rsidRDefault="009C6A29" w:rsidP="00454291">
      <w:pPr>
        <w:spacing w:after="0" w:line="240" w:lineRule="auto"/>
        <w:jc w:val="center"/>
        <w:rPr>
          <w:rFonts w:ascii="Arial" w:hAnsi="Arial" w:cs="Arial"/>
          <w:b/>
        </w:rPr>
        <w:sectPr w:rsidR="00C226DC" w:rsidSect="00C32922">
          <w:pgSz w:w="12240" w:h="15840"/>
          <w:pgMar w:top="567" w:right="567" w:bottom="284" w:left="284" w:header="709" w:footer="709" w:gutter="0"/>
          <w:cols w:space="708"/>
          <w:docGrid w:linePitch="360"/>
        </w:sectPr>
      </w:pPr>
      <w:r w:rsidRPr="009C6A29">
        <w:rPr>
          <w:noProof/>
        </w:rPr>
        <w:drawing>
          <wp:inline distT="0" distB="0" distL="0" distR="0" wp14:anchorId="096CC14C" wp14:editId="6E57BD13">
            <wp:extent cx="7232015" cy="6078855"/>
            <wp:effectExtent l="0" t="0" r="698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32015" cy="6078855"/>
                    </a:xfrm>
                    <a:prstGeom prst="rect">
                      <a:avLst/>
                    </a:prstGeom>
                    <a:noFill/>
                    <a:ln>
                      <a:noFill/>
                    </a:ln>
                  </pic:spPr>
                </pic:pic>
              </a:graphicData>
            </a:graphic>
          </wp:inline>
        </w:drawing>
      </w:r>
    </w:p>
    <w:p w14:paraId="004B260C" w14:textId="77777777" w:rsidR="00A56B99" w:rsidRDefault="00A56B99">
      <w:pPr>
        <w:spacing w:after="0" w:line="240" w:lineRule="auto"/>
        <w:rPr>
          <w:rFonts w:ascii="Arial" w:hAnsi="Arial" w:cs="Arial"/>
          <w:b/>
        </w:rPr>
      </w:pPr>
    </w:p>
    <w:p w14:paraId="39597888" w14:textId="75F0F47C" w:rsidR="00A56B99" w:rsidRDefault="00A56B99">
      <w:pPr>
        <w:spacing w:after="0" w:line="240" w:lineRule="auto"/>
        <w:rPr>
          <w:rFonts w:ascii="Arial" w:hAnsi="Arial" w:cs="Arial"/>
          <w:b/>
        </w:rPr>
      </w:pPr>
      <w:r>
        <w:rPr>
          <w:rFonts w:ascii="Arial" w:hAnsi="Arial" w:cs="Arial"/>
          <w:b/>
          <w:noProof/>
        </w:rPr>
        <mc:AlternateContent>
          <mc:Choice Requires="wps">
            <w:drawing>
              <wp:anchor distT="0" distB="0" distL="114300" distR="114300" simplePos="0" relativeHeight="251661312" behindDoc="0" locked="0" layoutInCell="1" allowOverlap="1" wp14:anchorId="4EF3DDA6" wp14:editId="37E03C19">
                <wp:simplePos x="0" y="0"/>
                <wp:positionH relativeFrom="page">
                  <wp:align>center</wp:align>
                </wp:positionH>
                <wp:positionV relativeFrom="paragraph">
                  <wp:posOffset>16510</wp:posOffset>
                </wp:positionV>
                <wp:extent cx="9525000" cy="276225"/>
                <wp:effectExtent l="0" t="0" r="19050" b="28575"/>
                <wp:wrapNone/>
                <wp:docPr id="40" name="Text Box 40"/>
                <wp:cNvGraphicFramePr/>
                <a:graphic xmlns:a="http://schemas.openxmlformats.org/drawingml/2006/main">
                  <a:graphicData uri="http://schemas.microsoft.com/office/word/2010/wordprocessingShape">
                    <wps:wsp>
                      <wps:cNvSpPr txBox="1"/>
                      <wps:spPr>
                        <a:xfrm>
                          <a:off x="0" y="0"/>
                          <a:ext cx="9525000" cy="276225"/>
                        </a:xfrm>
                        <a:prstGeom prst="rect">
                          <a:avLst/>
                        </a:prstGeom>
                        <a:solidFill>
                          <a:schemeClr val="bg1">
                            <a:lumMod val="85000"/>
                          </a:schemeClr>
                        </a:solidFill>
                        <a:ln w="6350">
                          <a:solidFill>
                            <a:prstClr val="black"/>
                          </a:solidFill>
                        </a:ln>
                      </wps:spPr>
                      <wps:txbx>
                        <w:txbxContent>
                          <w:p w14:paraId="0AED595F" w14:textId="77777777" w:rsidR="006B7307" w:rsidRDefault="006B7307" w:rsidP="00BE0E54">
                            <w:pPr>
                              <w:jc w:val="center"/>
                            </w:pPr>
                            <w:r w:rsidRPr="000420F5">
                              <w:rPr>
                                <w:rFonts w:ascii="Arial" w:hAnsi="Arial" w:cs="Arial"/>
                                <w:b/>
                                <w:bCs/>
                              </w:rPr>
                              <w:t xml:space="preserve">Annex Ci – Staffing (Permanent &amp; Temporary) </w:t>
                            </w:r>
                            <w:r>
                              <w:rPr>
                                <w:rFonts w:ascii="Arial" w:hAnsi="Arial" w:cs="Arial"/>
                                <w:b/>
                                <w:bCs/>
                              </w:rPr>
                              <w:t>–</w:t>
                            </w:r>
                            <w:r w:rsidRPr="000420F5">
                              <w:rPr>
                                <w:rFonts w:ascii="Arial" w:hAnsi="Arial" w:cs="Arial"/>
                                <w:b/>
                                <w:bCs/>
                              </w:rPr>
                              <w:t xml:space="preserve"> Expenditure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3DDA6" id="Text Box 40" o:spid="_x0000_s1027" type="#_x0000_t202" style="position:absolute;margin-left:0;margin-top:1.3pt;width:750pt;height:21.7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" fillcolor="#d8d8d8 [2732]" strokeweight=".5pt">
                <v:textbox>
                  <w:txbxContent>
                    <w:p w14:paraId="0AED595F" w14:textId="77777777" w:rsidR="006B7307" w:rsidRDefault="006B7307" w:rsidP="00BE0E54">
                      <w:pPr>
                        <w:jc w:val="center"/>
                      </w:pPr>
                      <w:r w:rsidRPr="000420F5">
                        <w:rPr>
                          <w:rFonts w:ascii="Arial" w:hAnsi="Arial" w:cs="Arial"/>
                          <w:b/>
                          <w:bCs/>
                        </w:rPr>
                        <w:t xml:space="preserve">Annex Ci – Staffing (Permanent &amp; Temporary) </w:t>
                      </w:r>
                      <w:r>
                        <w:rPr>
                          <w:rFonts w:ascii="Arial" w:hAnsi="Arial" w:cs="Arial"/>
                          <w:b/>
                          <w:bCs/>
                        </w:rPr>
                        <w:t>–</w:t>
                      </w:r>
                      <w:r w:rsidRPr="000420F5">
                        <w:rPr>
                          <w:rFonts w:ascii="Arial" w:hAnsi="Arial" w:cs="Arial"/>
                          <w:b/>
                          <w:bCs/>
                        </w:rPr>
                        <w:t xml:space="preserve"> Expenditure</w:t>
                      </w:r>
                    </w:p>
                  </w:txbxContent>
                </v:textbox>
                <w10:wrap anchorx="page"/>
              </v:shape>
            </w:pict>
          </mc:Fallback>
        </mc:AlternateContent>
      </w:r>
    </w:p>
    <w:p w14:paraId="2E771D70" w14:textId="77777777" w:rsidR="00A56B99" w:rsidRDefault="00A56B99">
      <w:pPr>
        <w:spacing w:after="0" w:line="240" w:lineRule="auto"/>
        <w:rPr>
          <w:rFonts w:ascii="Arial" w:hAnsi="Arial" w:cs="Arial"/>
          <w:b/>
        </w:rPr>
      </w:pPr>
    </w:p>
    <w:p w14:paraId="52528BE0" w14:textId="47E35482" w:rsidR="00A56B99" w:rsidRDefault="00A56B99">
      <w:pPr>
        <w:spacing w:after="0" w:line="240" w:lineRule="auto"/>
        <w:rPr>
          <w:rFonts w:ascii="Arial" w:hAnsi="Arial" w:cs="Arial"/>
          <w:b/>
        </w:rPr>
      </w:pPr>
    </w:p>
    <w:p w14:paraId="51C0C46A" w14:textId="14EB24D9" w:rsidR="00A56B99" w:rsidRDefault="009C6A29" w:rsidP="00A1759A">
      <w:pPr>
        <w:spacing w:after="0" w:line="240" w:lineRule="auto"/>
        <w:jc w:val="center"/>
        <w:rPr>
          <w:rFonts w:ascii="Arial" w:hAnsi="Arial" w:cs="Arial"/>
          <w:b/>
        </w:rPr>
      </w:pPr>
      <w:r w:rsidRPr="009C6A29">
        <w:rPr>
          <w:noProof/>
        </w:rPr>
        <w:drawing>
          <wp:inline distT="0" distB="0" distL="0" distR="0" wp14:anchorId="137EB736" wp14:editId="59C00A40">
            <wp:extent cx="10151745" cy="4226560"/>
            <wp:effectExtent l="0" t="0" r="1905" b="254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51745" cy="4226560"/>
                    </a:xfrm>
                    <a:prstGeom prst="rect">
                      <a:avLst/>
                    </a:prstGeom>
                    <a:noFill/>
                    <a:ln>
                      <a:noFill/>
                    </a:ln>
                  </pic:spPr>
                </pic:pic>
              </a:graphicData>
            </a:graphic>
          </wp:inline>
        </w:drawing>
      </w:r>
      <w:r w:rsidR="00AF2B29" w:rsidRPr="000420F5">
        <w:rPr>
          <w:rFonts w:ascii="Arial" w:hAnsi="Arial" w:cs="Arial"/>
          <w:b/>
        </w:rPr>
        <w:br w:type="page"/>
      </w:r>
    </w:p>
    <w:p w14:paraId="274691BE" w14:textId="4F5E363E" w:rsidR="0060216A" w:rsidRDefault="00A921D5">
      <w:pPr>
        <w:spacing w:after="0" w:line="240" w:lineRule="auto"/>
      </w:pPr>
      <w:r w:rsidRPr="00B00DD2">
        <w:rPr>
          <w:rFonts w:ascii="Arial" w:hAnsi="Arial" w:cs="Arial"/>
          <w:noProof/>
        </w:rPr>
        <w:lastRenderedPageBreak/>
        <mc:AlternateContent>
          <mc:Choice Requires="wps">
            <w:drawing>
              <wp:anchor distT="45720" distB="45720" distL="114300" distR="114300" simplePos="0" relativeHeight="251667456" behindDoc="0" locked="0" layoutInCell="1" allowOverlap="1" wp14:anchorId="6C53CFFF" wp14:editId="1D1798CA">
                <wp:simplePos x="0" y="0"/>
                <wp:positionH relativeFrom="margin">
                  <wp:align>center</wp:align>
                </wp:positionH>
                <wp:positionV relativeFrom="paragraph">
                  <wp:posOffset>83820</wp:posOffset>
                </wp:positionV>
                <wp:extent cx="2360930" cy="1404620"/>
                <wp:effectExtent l="0" t="0" r="15875"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lumMod val="75000"/>
                          </a:schemeClr>
                        </a:solidFill>
                        <a:ln w="9525">
                          <a:solidFill>
                            <a:srgbClr val="000000"/>
                          </a:solidFill>
                          <a:miter lim="800000"/>
                          <a:headEnd/>
                          <a:tailEnd/>
                        </a:ln>
                      </wps:spPr>
                      <wps:txbx>
                        <w:txbxContent>
                          <w:p w14:paraId="3ACCEE14" w14:textId="7250CC3E" w:rsidR="006B7307" w:rsidRPr="00B00DD2" w:rsidRDefault="006B7307" w:rsidP="00A921D5">
                            <w:pPr>
                              <w:spacing w:line="240" w:lineRule="auto"/>
                              <w:jc w:val="center"/>
                              <w:rPr>
                                <w:b/>
                                <w:sz w:val="26"/>
                                <w:szCs w:val="26"/>
                              </w:rPr>
                            </w:pPr>
                            <w:r w:rsidRPr="000420F5">
                              <w:rPr>
                                <w:rFonts w:ascii="Arial" w:hAnsi="Arial" w:cs="Arial"/>
                                <w:b/>
                                <w:bCs/>
                              </w:rPr>
                              <w:t>Annex Ci</w:t>
                            </w:r>
                            <w:r>
                              <w:rPr>
                                <w:rFonts w:ascii="Arial" w:hAnsi="Arial" w:cs="Arial"/>
                                <w:b/>
                                <w:bCs/>
                              </w:rPr>
                              <w:t>i</w:t>
                            </w:r>
                            <w:r w:rsidRPr="000420F5">
                              <w:rPr>
                                <w:rFonts w:ascii="Arial" w:hAnsi="Arial" w:cs="Arial"/>
                                <w:b/>
                                <w:bCs/>
                              </w:rPr>
                              <w:t xml:space="preserve"> – Staffing (Permanent &amp; Temporary) </w:t>
                            </w:r>
                            <w:r>
                              <w:rPr>
                                <w:rFonts w:ascii="Arial" w:hAnsi="Arial" w:cs="Arial"/>
                                <w:b/>
                                <w:bCs/>
                              </w:rPr>
                              <w:t>– WTE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C53CFFF" id="Text Box 2" o:spid="_x0000_s1028" type="#_x0000_t202" style="position:absolute;margin-left:0;margin-top:6.6pt;width:185.9pt;height:110.6pt;z-index:25166745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" fillcolor="#bfbfbf [2412]">
                <v:textbox style="mso-fit-shape-to-text:t">
                  <w:txbxContent>
                    <w:p w14:paraId="3ACCEE14" w14:textId="7250CC3E" w:rsidR="006B7307" w:rsidRPr="00B00DD2" w:rsidRDefault="006B7307" w:rsidP="00A921D5">
                      <w:pPr>
                        <w:spacing w:line="240" w:lineRule="auto"/>
                        <w:jc w:val="center"/>
                        <w:rPr>
                          <w:b/>
                          <w:sz w:val="26"/>
                          <w:szCs w:val="26"/>
                        </w:rPr>
                      </w:pPr>
                      <w:r w:rsidRPr="000420F5">
                        <w:rPr>
                          <w:rFonts w:ascii="Arial" w:hAnsi="Arial" w:cs="Arial"/>
                          <w:b/>
                          <w:bCs/>
                        </w:rPr>
                        <w:t>Annex Ci</w:t>
                      </w:r>
                      <w:r>
                        <w:rPr>
                          <w:rFonts w:ascii="Arial" w:hAnsi="Arial" w:cs="Arial"/>
                          <w:b/>
                          <w:bCs/>
                        </w:rPr>
                        <w:t>i</w:t>
                      </w:r>
                      <w:r w:rsidRPr="000420F5">
                        <w:rPr>
                          <w:rFonts w:ascii="Arial" w:hAnsi="Arial" w:cs="Arial"/>
                          <w:b/>
                          <w:bCs/>
                        </w:rPr>
                        <w:t xml:space="preserve"> – Staffing (Permanent &amp; Temporary) </w:t>
                      </w:r>
                      <w:r>
                        <w:rPr>
                          <w:rFonts w:ascii="Arial" w:hAnsi="Arial" w:cs="Arial"/>
                          <w:b/>
                          <w:bCs/>
                        </w:rPr>
                        <w:t>– WTE</w:t>
                      </w:r>
                    </w:p>
                  </w:txbxContent>
                </v:textbox>
                <w10:wrap type="square" anchorx="margin"/>
              </v:shape>
            </w:pict>
          </mc:Fallback>
        </mc:AlternateContent>
      </w:r>
    </w:p>
    <w:p w14:paraId="5951DAFF" w14:textId="62AB4BA0" w:rsidR="0060216A" w:rsidRPr="0060216A" w:rsidRDefault="0060216A" w:rsidP="00A1759A">
      <w:pPr>
        <w:spacing w:after="0" w:line="240" w:lineRule="auto"/>
        <w:jc w:val="center"/>
      </w:pPr>
    </w:p>
    <w:p w14:paraId="4BC50EA4" w14:textId="2E67CA09" w:rsidR="004F5C19" w:rsidRDefault="004F5C19" w:rsidP="00E24BC8">
      <w:pPr>
        <w:spacing w:after="0"/>
        <w:rPr>
          <w:noProof/>
        </w:rPr>
      </w:pPr>
    </w:p>
    <w:p w14:paraId="5EBE78A2" w14:textId="17BD0633" w:rsidR="00A1759A" w:rsidRDefault="009C6A29" w:rsidP="001D282F">
      <w:pPr>
        <w:spacing w:after="0"/>
        <w:jc w:val="center"/>
        <w:rPr>
          <w:noProof/>
        </w:rPr>
      </w:pPr>
      <w:r w:rsidRPr="009C6A29">
        <w:rPr>
          <w:noProof/>
        </w:rPr>
        <w:drawing>
          <wp:inline distT="0" distB="0" distL="0" distR="0" wp14:anchorId="5EDE2712" wp14:editId="067ECB29">
            <wp:extent cx="10151745" cy="4690745"/>
            <wp:effectExtent l="0" t="0" r="190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151745" cy="4690745"/>
                    </a:xfrm>
                    <a:prstGeom prst="rect">
                      <a:avLst/>
                    </a:prstGeom>
                    <a:noFill/>
                    <a:ln>
                      <a:noFill/>
                    </a:ln>
                  </pic:spPr>
                </pic:pic>
              </a:graphicData>
            </a:graphic>
          </wp:inline>
        </w:drawing>
      </w:r>
    </w:p>
    <w:p w14:paraId="7CBFE8FC" w14:textId="6959FFD5" w:rsidR="00A1759A" w:rsidRDefault="00A1759A" w:rsidP="00E24BC8">
      <w:pPr>
        <w:spacing w:after="0"/>
        <w:rPr>
          <w:noProof/>
        </w:rPr>
      </w:pPr>
    </w:p>
    <w:p w14:paraId="3CB88AFC" w14:textId="0EB8C203" w:rsidR="00A1759A" w:rsidRDefault="00A1759A" w:rsidP="00E24BC8">
      <w:pPr>
        <w:spacing w:after="0"/>
        <w:rPr>
          <w:noProof/>
        </w:rPr>
      </w:pPr>
    </w:p>
    <w:p w14:paraId="60F7A61C" w14:textId="17AC62C8" w:rsidR="00A1759A" w:rsidRDefault="00A1759A" w:rsidP="00E24BC8">
      <w:pPr>
        <w:spacing w:after="0"/>
        <w:rPr>
          <w:noProof/>
        </w:rPr>
      </w:pPr>
    </w:p>
    <w:p w14:paraId="4B5647A1" w14:textId="4806D570" w:rsidR="00A1759A" w:rsidRDefault="00A1759A" w:rsidP="00E24BC8">
      <w:pPr>
        <w:spacing w:after="0"/>
        <w:rPr>
          <w:noProof/>
        </w:rPr>
      </w:pPr>
    </w:p>
    <w:p w14:paraId="4936FD62" w14:textId="075BE7F3" w:rsidR="00A1759A" w:rsidRDefault="00A1759A" w:rsidP="00E24BC8">
      <w:pPr>
        <w:spacing w:after="0"/>
        <w:rPr>
          <w:noProof/>
        </w:rPr>
      </w:pPr>
    </w:p>
    <w:p w14:paraId="6BDE0F92" w14:textId="77777777" w:rsidR="002D0653" w:rsidRDefault="002D0653" w:rsidP="00E24BC8">
      <w:pPr>
        <w:spacing w:after="0"/>
        <w:rPr>
          <w:noProof/>
        </w:rPr>
      </w:pPr>
    </w:p>
    <w:p w14:paraId="7161DEC2" w14:textId="2733AB12" w:rsidR="00A1759A" w:rsidRPr="00A56B99" w:rsidRDefault="00A1759A" w:rsidP="00E24BC8">
      <w:pPr>
        <w:spacing w:after="0"/>
        <w:rPr>
          <w:noProof/>
        </w:rPr>
      </w:pPr>
    </w:p>
    <w:p w14:paraId="5527BDF2" w14:textId="785FB61F" w:rsidR="004F5C19" w:rsidRDefault="004F5C19" w:rsidP="00E24BC8">
      <w:pPr>
        <w:spacing w:after="0"/>
        <w:rPr>
          <w:rFonts w:ascii="Arial" w:hAnsi="Arial" w:cs="Arial"/>
        </w:rPr>
      </w:pPr>
    </w:p>
    <w:p w14:paraId="7C058E63" w14:textId="77777777" w:rsidR="005358A4" w:rsidRDefault="005358A4" w:rsidP="00E24BC8">
      <w:pPr>
        <w:spacing w:after="0"/>
        <w:rPr>
          <w:rFonts w:ascii="Arial" w:hAnsi="Arial" w:cs="Arial"/>
          <w:noProof/>
        </w:rPr>
      </w:pPr>
    </w:p>
    <w:p w14:paraId="0B628951" w14:textId="1A11C5AE" w:rsidR="005358A4" w:rsidRDefault="005358A4" w:rsidP="00E24BC8">
      <w:pPr>
        <w:spacing w:after="0"/>
        <w:rPr>
          <w:rFonts w:ascii="Arial" w:hAnsi="Arial" w:cs="Arial"/>
          <w:noProof/>
        </w:rPr>
      </w:pPr>
      <w:r w:rsidRPr="00B00DD2">
        <w:rPr>
          <w:rFonts w:ascii="Arial" w:hAnsi="Arial" w:cs="Arial"/>
          <w:noProof/>
        </w:rPr>
        <w:lastRenderedPageBreak/>
        <mc:AlternateContent>
          <mc:Choice Requires="wps">
            <w:drawing>
              <wp:anchor distT="45720" distB="45720" distL="114300" distR="114300" simplePos="0" relativeHeight="251665408" behindDoc="0" locked="0" layoutInCell="1" allowOverlap="1" wp14:anchorId="359C8B81" wp14:editId="245D78D0">
                <wp:simplePos x="0" y="0"/>
                <wp:positionH relativeFrom="column">
                  <wp:posOffset>2943225</wp:posOffset>
                </wp:positionH>
                <wp:positionV relativeFrom="paragraph">
                  <wp:posOffset>0</wp:posOffset>
                </wp:positionV>
                <wp:extent cx="2360930" cy="1404620"/>
                <wp:effectExtent l="0" t="0" r="21590" b="1460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lumMod val="75000"/>
                          </a:schemeClr>
                        </a:solidFill>
                        <a:ln w="9525">
                          <a:solidFill>
                            <a:srgbClr val="000000"/>
                          </a:solidFill>
                          <a:miter lim="800000"/>
                          <a:headEnd/>
                          <a:tailEnd/>
                        </a:ln>
                      </wps:spPr>
                      <wps:txbx>
                        <w:txbxContent>
                          <w:p w14:paraId="6479BE2B" w14:textId="76E34D9E" w:rsidR="006B7307" w:rsidRPr="00B00DD2" w:rsidRDefault="006B7307" w:rsidP="005358A4">
                            <w:pPr>
                              <w:spacing w:line="240" w:lineRule="auto"/>
                              <w:jc w:val="center"/>
                              <w:rPr>
                                <w:b/>
                                <w:sz w:val="26"/>
                                <w:szCs w:val="26"/>
                              </w:rPr>
                            </w:pPr>
                            <w:r w:rsidRPr="00B00DD2">
                              <w:rPr>
                                <w:b/>
                                <w:sz w:val="26"/>
                                <w:szCs w:val="26"/>
                              </w:rPr>
                              <w:t>A</w:t>
                            </w:r>
                            <w:r>
                              <w:rPr>
                                <w:b/>
                                <w:sz w:val="26"/>
                                <w:szCs w:val="26"/>
                              </w:rPr>
                              <w:t>nnex D</w:t>
                            </w:r>
                            <w:r w:rsidRPr="00B00DD2">
                              <w:rPr>
                                <w:b/>
                                <w:sz w:val="26"/>
                                <w:szCs w:val="26"/>
                              </w:rPr>
                              <w:t xml:space="preserve"> –</w:t>
                            </w:r>
                            <w:r>
                              <w:rPr>
                                <w:b/>
                                <w:sz w:val="26"/>
                                <w:szCs w:val="26"/>
                              </w:rPr>
                              <w:t xml:space="preserve"> Activity Reports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59C8B81" id="_x0000_s1029" type="#_x0000_t202" style="position:absolute;margin-left:231.75pt;margin-top:0;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" fillcolor="#bfbfbf [2412]">
                <v:textbox style="mso-fit-shape-to-text:t">
                  <w:txbxContent>
                    <w:p w14:paraId="6479BE2B" w14:textId="76E34D9E" w:rsidR="006B7307" w:rsidRPr="00B00DD2" w:rsidRDefault="006B7307" w:rsidP="005358A4">
                      <w:pPr>
                        <w:spacing w:line="240" w:lineRule="auto"/>
                        <w:jc w:val="center"/>
                        <w:rPr>
                          <w:b/>
                          <w:sz w:val="26"/>
                          <w:szCs w:val="26"/>
                        </w:rPr>
                      </w:pPr>
                      <w:r w:rsidRPr="00B00DD2">
                        <w:rPr>
                          <w:b/>
                          <w:sz w:val="26"/>
                          <w:szCs w:val="26"/>
                        </w:rPr>
                        <w:t>A</w:t>
                      </w:r>
                      <w:r>
                        <w:rPr>
                          <w:b/>
                          <w:sz w:val="26"/>
                          <w:szCs w:val="26"/>
                        </w:rPr>
                        <w:t>nnex D</w:t>
                      </w:r>
                      <w:r w:rsidRPr="00B00DD2">
                        <w:rPr>
                          <w:b/>
                          <w:sz w:val="26"/>
                          <w:szCs w:val="26"/>
                        </w:rPr>
                        <w:t xml:space="preserve"> –</w:t>
                      </w:r>
                      <w:r>
                        <w:rPr>
                          <w:b/>
                          <w:sz w:val="26"/>
                          <w:szCs w:val="26"/>
                        </w:rPr>
                        <w:t xml:space="preserve"> Activity Reports</w:t>
                      </w:r>
                    </w:p>
                  </w:txbxContent>
                </v:textbox>
                <w10:wrap type="square"/>
              </v:shape>
            </w:pict>
          </mc:Fallback>
        </mc:AlternateContent>
      </w:r>
    </w:p>
    <w:p w14:paraId="08900933" w14:textId="7DCF703D" w:rsidR="005358A4" w:rsidRDefault="005358A4" w:rsidP="00E24BC8">
      <w:pPr>
        <w:spacing w:after="0"/>
        <w:rPr>
          <w:rFonts w:ascii="Arial" w:hAnsi="Arial" w:cs="Arial"/>
          <w:noProof/>
        </w:rPr>
      </w:pPr>
    </w:p>
    <w:p w14:paraId="54C29F10" w14:textId="77777777" w:rsidR="00027156" w:rsidRDefault="00027156" w:rsidP="001D282F">
      <w:pPr>
        <w:spacing w:after="0"/>
        <w:jc w:val="center"/>
        <w:rPr>
          <w:rFonts w:ascii="Arial" w:hAnsi="Arial" w:cs="Arial"/>
        </w:rPr>
      </w:pPr>
    </w:p>
    <w:p w14:paraId="70AEC40E" w14:textId="395BD29B" w:rsidR="004F5C19" w:rsidRDefault="006B53A2" w:rsidP="001D282F">
      <w:pPr>
        <w:spacing w:after="0"/>
        <w:jc w:val="center"/>
        <w:rPr>
          <w:rFonts w:ascii="Arial" w:hAnsi="Arial" w:cs="Arial"/>
        </w:rPr>
      </w:pPr>
      <w:r>
        <w:rPr>
          <w:rFonts w:ascii="Arial" w:hAnsi="Arial" w:cs="Arial"/>
          <w:noProof/>
        </w:rPr>
        <w:drawing>
          <wp:inline distT="0" distB="0" distL="0" distR="0" wp14:anchorId="1E0198D3" wp14:editId="68A26725">
            <wp:extent cx="6877050" cy="22555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77050" cy="2255520"/>
                    </a:xfrm>
                    <a:prstGeom prst="rect">
                      <a:avLst/>
                    </a:prstGeom>
                    <a:noFill/>
                  </pic:spPr>
                </pic:pic>
              </a:graphicData>
            </a:graphic>
          </wp:inline>
        </w:drawing>
      </w:r>
    </w:p>
    <w:p w14:paraId="3EE751CF" w14:textId="053679FB" w:rsidR="00DA0372" w:rsidRDefault="00DA0372" w:rsidP="00E24BC8">
      <w:pPr>
        <w:spacing w:after="0"/>
        <w:rPr>
          <w:rFonts w:ascii="Arial" w:hAnsi="Arial" w:cs="Arial"/>
          <w:noProof/>
        </w:rPr>
      </w:pPr>
    </w:p>
    <w:p w14:paraId="15F257A5" w14:textId="10D182A0" w:rsidR="001D282F" w:rsidRDefault="006B53A2" w:rsidP="001D282F">
      <w:pPr>
        <w:spacing w:after="0"/>
        <w:jc w:val="center"/>
        <w:rPr>
          <w:rFonts w:ascii="Arial" w:hAnsi="Arial" w:cs="Arial"/>
        </w:rPr>
      </w:pPr>
      <w:r>
        <w:rPr>
          <w:rFonts w:ascii="Arial" w:hAnsi="Arial" w:cs="Arial"/>
          <w:noProof/>
        </w:rPr>
        <w:drawing>
          <wp:inline distT="0" distB="0" distL="0" distR="0" wp14:anchorId="2146434B" wp14:editId="16FD5C7A">
            <wp:extent cx="7096125" cy="2097405"/>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096125" cy="2097405"/>
                    </a:xfrm>
                    <a:prstGeom prst="rect">
                      <a:avLst/>
                    </a:prstGeom>
                    <a:noFill/>
                  </pic:spPr>
                </pic:pic>
              </a:graphicData>
            </a:graphic>
          </wp:inline>
        </w:drawing>
      </w:r>
    </w:p>
    <w:p w14:paraId="7BA43070" w14:textId="3D1FFFE5" w:rsidR="004F5C19" w:rsidRDefault="004F5C19" w:rsidP="00E24BC8">
      <w:pPr>
        <w:spacing w:after="0"/>
        <w:rPr>
          <w:rFonts w:ascii="Arial" w:hAnsi="Arial" w:cs="Arial"/>
        </w:rPr>
      </w:pPr>
    </w:p>
    <w:p w14:paraId="20D8FFA4" w14:textId="72F74F68" w:rsidR="00F616EC" w:rsidRDefault="00F616EC" w:rsidP="00E24BC8">
      <w:pPr>
        <w:spacing w:after="0"/>
        <w:rPr>
          <w:rFonts w:ascii="Arial" w:hAnsi="Arial" w:cs="Arial"/>
        </w:rPr>
        <w:sectPr w:rsidR="00F616EC" w:rsidSect="00076126">
          <w:pgSz w:w="16838" w:h="11906" w:orient="landscape" w:code="9"/>
          <w:pgMar w:top="567" w:right="567" w:bottom="284" w:left="284" w:header="709" w:footer="709" w:gutter="0"/>
          <w:cols w:space="708"/>
          <w:docGrid w:linePitch="360"/>
        </w:sectPr>
      </w:pPr>
    </w:p>
    <w:p w14:paraId="4CBF127E" w14:textId="682F0494" w:rsidR="0060216A" w:rsidRPr="006A47B4" w:rsidRDefault="0060216A" w:rsidP="00E24BC8">
      <w:pPr>
        <w:spacing w:after="0"/>
        <w:rPr>
          <w:rFonts w:ascii="Arial" w:hAnsi="Arial" w:cs="Arial"/>
          <w:sz w:val="2"/>
          <w:szCs w:val="2"/>
        </w:rPr>
      </w:pPr>
    </w:p>
    <w:p w14:paraId="2FC8BD66" w14:textId="1D9B27B5" w:rsidR="00F616EC" w:rsidRPr="00D965DE" w:rsidRDefault="00B00DD2" w:rsidP="00D965DE">
      <w:pPr>
        <w:spacing w:after="0"/>
        <w:jc w:val="center"/>
        <w:rPr>
          <w:rFonts w:ascii="Arial" w:hAnsi="Arial" w:cs="Arial"/>
          <w:sz w:val="2"/>
          <w:szCs w:val="2"/>
        </w:rPr>
      </w:pPr>
      <w:r w:rsidRPr="00B00DD2">
        <w:rPr>
          <w:rFonts w:ascii="Arial" w:hAnsi="Arial" w:cs="Arial"/>
          <w:noProof/>
        </w:rPr>
        <mc:AlternateContent>
          <mc:Choice Requires="wps">
            <w:drawing>
              <wp:anchor distT="45720" distB="45720" distL="114300" distR="114300" simplePos="0" relativeHeight="251663360" behindDoc="0" locked="0" layoutInCell="1" allowOverlap="1" wp14:anchorId="3DE31E0A" wp14:editId="10ADAFC5">
                <wp:simplePos x="0" y="0"/>
                <wp:positionH relativeFrom="column">
                  <wp:align>center</wp:align>
                </wp:positionH>
                <wp:positionV relativeFrom="paragraph">
                  <wp:posOffset>182880</wp:posOffset>
                </wp:positionV>
                <wp:extent cx="2360930" cy="1404620"/>
                <wp:effectExtent l="0" t="0" r="2159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lumMod val="75000"/>
                          </a:schemeClr>
                        </a:solidFill>
                        <a:ln w="9525">
                          <a:solidFill>
                            <a:srgbClr val="000000"/>
                          </a:solidFill>
                          <a:miter lim="800000"/>
                          <a:headEnd/>
                          <a:tailEnd/>
                        </a:ln>
                      </wps:spPr>
                      <wps:txbx>
                        <w:txbxContent>
                          <w:p w14:paraId="477E3E89" w14:textId="644A73FE" w:rsidR="006B7307" w:rsidRPr="00B00DD2" w:rsidRDefault="006B7307" w:rsidP="00B00DD2">
                            <w:pPr>
                              <w:spacing w:line="240" w:lineRule="auto"/>
                              <w:jc w:val="center"/>
                              <w:rPr>
                                <w:b/>
                                <w:sz w:val="26"/>
                                <w:szCs w:val="26"/>
                              </w:rPr>
                            </w:pPr>
                            <w:r>
                              <w:rPr>
                                <w:b/>
                                <w:sz w:val="26"/>
                                <w:szCs w:val="26"/>
                              </w:rPr>
                              <w:t>Annex E – Income per Spell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DE31E0A" id="_x0000_s1030" type="#_x0000_t202" style="position:absolute;left:0;text-align:left;margin-left:0;margin-top:14.4pt;width:185.9pt;height:110.6pt;z-index:251663360;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" fillcolor="#bfbfbf [2412]">
                <v:textbox style="mso-fit-shape-to-text:t">
                  <w:txbxContent>
                    <w:p w14:paraId="477E3E89" w14:textId="644A73FE" w:rsidR="006B7307" w:rsidRPr="00B00DD2" w:rsidRDefault="006B7307" w:rsidP="00B00DD2">
                      <w:pPr>
                        <w:spacing w:line="240" w:lineRule="auto"/>
                        <w:jc w:val="center"/>
                        <w:rPr>
                          <w:b/>
                          <w:sz w:val="26"/>
                          <w:szCs w:val="26"/>
                        </w:rPr>
                      </w:pPr>
                      <w:r>
                        <w:rPr>
                          <w:b/>
                          <w:sz w:val="26"/>
                          <w:szCs w:val="26"/>
                        </w:rPr>
                        <w:t>Annex E – Income per Spell</w:t>
                      </w:r>
                    </w:p>
                  </w:txbxContent>
                </v:textbox>
                <w10:wrap type="square"/>
              </v:shape>
            </w:pict>
          </mc:Fallback>
        </mc:AlternateContent>
      </w:r>
      <w:r w:rsidR="00C65993">
        <w:rPr>
          <w:noProof/>
        </w:rPr>
        <w:drawing>
          <wp:inline distT="0" distB="0" distL="0" distR="0" wp14:anchorId="37E12C6B" wp14:editId="12A90BBA">
            <wp:extent cx="7232015" cy="4338955"/>
            <wp:effectExtent l="0" t="0" r="6985" b="4445"/>
            <wp:docPr id="49" name="Chart 49">
              <a:extLst xmlns:a="http://schemas.openxmlformats.org/drawingml/2006/main">
                <a:ext uri="{FF2B5EF4-FFF2-40B4-BE49-F238E27FC236}">
                  <a16:creationId xmlns:a16="http://schemas.microsoft.com/office/drawing/2014/main" id="{70A77C04-7C58-46C0-A947-A7E1D752CA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C65993">
        <w:rPr>
          <w:noProof/>
        </w:rPr>
        <w:drawing>
          <wp:inline distT="0" distB="0" distL="0" distR="0" wp14:anchorId="644F1D79" wp14:editId="3B8DCC6B">
            <wp:extent cx="7232015" cy="4338955"/>
            <wp:effectExtent l="0" t="0" r="6985" b="4445"/>
            <wp:docPr id="1" name="Chart 1">
              <a:extLst xmlns:a="http://schemas.openxmlformats.org/drawingml/2006/main">
                <a:ext uri="{FF2B5EF4-FFF2-40B4-BE49-F238E27FC236}">
                  <a16:creationId xmlns:a16="http://schemas.microsoft.com/office/drawing/2014/main" id="{E872B64D-D79F-42C2-8439-AB290BE625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F616EC">
        <w:rPr>
          <w:rFonts w:ascii="Arial" w:hAnsi="Arial" w:cs="Arial"/>
          <w:b/>
          <w:bCs/>
        </w:rPr>
        <w:br w:type="page"/>
      </w:r>
    </w:p>
    <w:p w14:paraId="033D53E6" w14:textId="77777777" w:rsidR="009D1F2E" w:rsidRDefault="009D1F2E">
      <w:pPr>
        <w:spacing w:after="0" w:line="240" w:lineRule="auto"/>
        <w:rPr>
          <w:rFonts w:ascii="Arial" w:hAnsi="Arial" w:cs="Arial"/>
          <w:b/>
          <w:bCs/>
        </w:rPr>
      </w:pPr>
    </w:p>
    <w:p w14:paraId="08564682" w14:textId="2C39F29E" w:rsidR="00A921D5" w:rsidRDefault="00A921D5">
      <w:pPr>
        <w:spacing w:before="120" w:after="120"/>
        <w:jc w:val="center"/>
        <w:rPr>
          <w:noProof/>
        </w:rPr>
      </w:pPr>
      <w:r w:rsidRPr="00B00DD2">
        <w:rPr>
          <w:rFonts w:ascii="Arial" w:hAnsi="Arial" w:cs="Arial"/>
          <w:noProof/>
        </w:rPr>
        <mc:AlternateContent>
          <mc:Choice Requires="wps">
            <w:drawing>
              <wp:anchor distT="45720" distB="45720" distL="114300" distR="114300" simplePos="0" relativeHeight="251669504" behindDoc="0" locked="0" layoutInCell="1" allowOverlap="1" wp14:anchorId="7C51012A" wp14:editId="3F71D109">
                <wp:simplePos x="0" y="0"/>
                <wp:positionH relativeFrom="margin">
                  <wp:align>center</wp:align>
                </wp:positionH>
                <wp:positionV relativeFrom="paragraph">
                  <wp:posOffset>45720</wp:posOffset>
                </wp:positionV>
                <wp:extent cx="2360930" cy="1404620"/>
                <wp:effectExtent l="0" t="0" r="21590"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lumMod val="75000"/>
                          </a:schemeClr>
                        </a:solidFill>
                        <a:ln w="9525">
                          <a:solidFill>
                            <a:srgbClr val="000000"/>
                          </a:solidFill>
                          <a:miter lim="800000"/>
                          <a:headEnd/>
                          <a:tailEnd/>
                        </a:ln>
                      </wps:spPr>
                      <wps:txbx>
                        <w:txbxContent>
                          <w:p w14:paraId="2EED688C" w14:textId="6B2F5325" w:rsidR="006B7307" w:rsidRPr="00B00DD2" w:rsidRDefault="006B7307" w:rsidP="00A921D5">
                            <w:pPr>
                              <w:spacing w:line="240" w:lineRule="auto"/>
                              <w:jc w:val="center"/>
                              <w:rPr>
                                <w:b/>
                                <w:sz w:val="26"/>
                                <w:szCs w:val="26"/>
                              </w:rPr>
                            </w:pPr>
                            <w:r w:rsidRPr="000420F5">
                              <w:rPr>
                                <w:rFonts w:ascii="Arial" w:hAnsi="Arial" w:cs="Arial"/>
                                <w:b/>
                                <w:bCs/>
                              </w:rPr>
                              <w:t xml:space="preserve">Annex </w:t>
                            </w:r>
                            <w:r>
                              <w:rPr>
                                <w:rFonts w:ascii="Arial" w:hAnsi="Arial" w:cs="Arial"/>
                                <w:b/>
                                <w:bCs/>
                              </w:rPr>
                              <w:t>F</w:t>
                            </w:r>
                            <w:r w:rsidRPr="000420F5">
                              <w:rPr>
                                <w:rFonts w:ascii="Arial" w:hAnsi="Arial" w:cs="Arial"/>
                                <w:b/>
                                <w:bCs/>
                              </w:rPr>
                              <w:t xml:space="preserve"> – Cash flow statement</w:t>
                            </w:r>
                            <w:r>
                              <w:rPr>
                                <w:rFonts w:ascii="Arial" w:hAnsi="Arial" w:cs="Arial"/>
                                <w:b/>
                                <w:bCs/>
                              </w:rPr>
                              <w:t xml:space="preserve"> YTD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C51012A" id="_x0000_s1031" type="#_x0000_t202" style="position:absolute;left:0;text-align:left;margin-left:0;margin-top:3.6pt;width:185.9pt;height:110.6pt;z-index:25166950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" fillcolor="#bfbfbf [2412]">
                <v:textbox style="mso-fit-shape-to-text:t">
                  <w:txbxContent>
                    <w:p w14:paraId="2EED688C" w14:textId="6B2F5325" w:rsidR="006B7307" w:rsidRPr="00B00DD2" w:rsidRDefault="006B7307" w:rsidP="00A921D5">
                      <w:pPr>
                        <w:spacing w:line="240" w:lineRule="auto"/>
                        <w:jc w:val="center"/>
                        <w:rPr>
                          <w:b/>
                          <w:sz w:val="26"/>
                          <w:szCs w:val="26"/>
                        </w:rPr>
                      </w:pPr>
                      <w:r w:rsidRPr="000420F5">
                        <w:rPr>
                          <w:rFonts w:ascii="Arial" w:hAnsi="Arial" w:cs="Arial"/>
                          <w:b/>
                          <w:bCs/>
                        </w:rPr>
                        <w:t xml:space="preserve">Annex </w:t>
                      </w:r>
                      <w:r>
                        <w:rPr>
                          <w:rFonts w:ascii="Arial" w:hAnsi="Arial" w:cs="Arial"/>
                          <w:b/>
                          <w:bCs/>
                        </w:rPr>
                        <w:t>F</w:t>
                      </w:r>
                      <w:r w:rsidRPr="000420F5">
                        <w:rPr>
                          <w:rFonts w:ascii="Arial" w:hAnsi="Arial" w:cs="Arial"/>
                          <w:b/>
                          <w:bCs/>
                        </w:rPr>
                        <w:t xml:space="preserve"> – Cash flow statement</w:t>
                      </w:r>
                      <w:r>
                        <w:rPr>
                          <w:rFonts w:ascii="Arial" w:hAnsi="Arial" w:cs="Arial"/>
                          <w:b/>
                          <w:bCs/>
                        </w:rPr>
                        <w:t xml:space="preserve"> YTD</w:t>
                      </w:r>
                    </w:p>
                  </w:txbxContent>
                </v:textbox>
                <w10:wrap type="square" anchorx="margin"/>
              </v:shape>
            </w:pict>
          </mc:Fallback>
        </mc:AlternateContent>
      </w:r>
      <w:r w:rsidR="002F0E2B" w:rsidRPr="000420F5">
        <w:rPr>
          <w:rFonts w:ascii="Arial" w:hAnsi="Arial" w:cs="Arial"/>
          <w:b/>
          <w:bCs/>
        </w:rPr>
        <w:t xml:space="preserve"> </w:t>
      </w:r>
    </w:p>
    <w:p w14:paraId="6A6101C0" w14:textId="4C898071" w:rsidR="002B7A57" w:rsidRPr="000420F5" w:rsidRDefault="00EB3FEC">
      <w:pPr>
        <w:spacing w:before="120" w:after="120"/>
        <w:jc w:val="center"/>
        <w:rPr>
          <w:rFonts w:ascii="Arial" w:hAnsi="Arial" w:cs="Arial"/>
          <w:b/>
          <w:bCs/>
        </w:rPr>
        <w:sectPr w:rsidR="002B7A57" w:rsidRPr="000420F5" w:rsidSect="00D965DE">
          <w:pgSz w:w="12240" w:h="15840"/>
          <w:pgMar w:top="567" w:right="567" w:bottom="284" w:left="284" w:header="709" w:footer="709" w:gutter="0"/>
          <w:cols w:space="708"/>
          <w:docGrid w:linePitch="360"/>
        </w:sectPr>
      </w:pPr>
      <w:r w:rsidRPr="00EB3FEC">
        <w:rPr>
          <w:noProof/>
        </w:rPr>
        <w:drawing>
          <wp:inline distT="0" distB="0" distL="0" distR="0" wp14:anchorId="46E31C82" wp14:editId="348E2761">
            <wp:extent cx="4629150" cy="83724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29150" cy="8372475"/>
                    </a:xfrm>
                    <a:prstGeom prst="rect">
                      <a:avLst/>
                    </a:prstGeom>
                    <a:noFill/>
                    <a:ln>
                      <a:noFill/>
                    </a:ln>
                  </pic:spPr>
                </pic:pic>
              </a:graphicData>
            </a:graphic>
          </wp:inline>
        </w:drawing>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14979"/>
      </w:tblGrid>
      <w:tr w:rsidR="00AF2B29" w:rsidRPr="000420F5" w14:paraId="0A61176B" w14:textId="77777777" w:rsidTr="0060216A">
        <w:trPr>
          <w:trHeight w:val="413"/>
        </w:trPr>
        <w:tc>
          <w:tcPr>
            <w:tcW w:w="5000" w:type="pct"/>
            <w:shd w:val="clear" w:color="auto" w:fill="D9D9D9" w:themeFill="background1" w:themeFillShade="D9"/>
          </w:tcPr>
          <w:p w14:paraId="268D00B6" w14:textId="239CC3E8" w:rsidR="00AF2B29" w:rsidRPr="000420F5" w:rsidRDefault="008A6431" w:rsidP="004E0C22">
            <w:pPr>
              <w:spacing w:before="120" w:after="120"/>
              <w:jc w:val="center"/>
              <w:rPr>
                <w:rFonts w:ascii="Arial" w:eastAsia="Arial Unicode MS" w:hAnsi="Arial" w:cs="Arial"/>
              </w:rPr>
            </w:pPr>
            <w:r w:rsidRPr="000420F5">
              <w:rPr>
                <w:rFonts w:ascii="Arial" w:hAnsi="Arial" w:cs="Arial"/>
                <w:b/>
                <w:bCs/>
              </w:rPr>
              <w:lastRenderedPageBreak/>
              <w:t>A</w:t>
            </w:r>
            <w:r w:rsidR="00AF2B29" w:rsidRPr="000420F5">
              <w:rPr>
                <w:rFonts w:ascii="Arial" w:hAnsi="Arial" w:cs="Arial"/>
                <w:b/>
                <w:bCs/>
              </w:rPr>
              <w:t xml:space="preserve">nnex </w:t>
            </w:r>
            <w:r w:rsidR="00B457F5">
              <w:rPr>
                <w:rFonts w:ascii="Arial" w:hAnsi="Arial" w:cs="Arial"/>
                <w:b/>
                <w:bCs/>
              </w:rPr>
              <w:t>G</w:t>
            </w:r>
            <w:r w:rsidR="00AF2B29" w:rsidRPr="000420F5">
              <w:rPr>
                <w:rFonts w:ascii="Arial" w:hAnsi="Arial" w:cs="Arial"/>
                <w:b/>
                <w:bCs/>
              </w:rPr>
              <w:t xml:space="preserve"> – Cash </w:t>
            </w:r>
            <w:r w:rsidR="00083C6B" w:rsidRPr="000420F5">
              <w:rPr>
                <w:rFonts w:ascii="Arial" w:hAnsi="Arial" w:cs="Arial"/>
                <w:b/>
                <w:bCs/>
              </w:rPr>
              <w:t>flow c</w:t>
            </w:r>
            <w:r w:rsidR="00AF2B29" w:rsidRPr="000420F5">
              <w:rPr>
                <w:rFonts w:ascii="Arial" w:hAnsi="Arial" w:cs="Arial"/>
                <w:b/>
                <w:bCs/>
              </w:rPr>
              <w:t>hart</w:t>
            </w:r>
          </w:p>
        </w:tc>
      </w:tr>
    </w:tbl>
    <w:p w14:paraId="49CC1A6B" w14:textId="4C9F009F" w:rsidR="00AF2B29" w:rsidRPr="000420F5" w:rsidRDefault="00AF2B29">
      <w:pPr>
        <w:spacing w:after="0"/>
      </w:pPr>
    </w:p>
    <w:p w14:paraId="361E5DB4" w14:textId="78FD76F2" w:rsidR="00D20694" w:rsidRPr="000420F5" w:rsidRDefault="00EB3FEC" w:rsidP="00C664AE">
      <w:pPr>
        <w:spacing w:after="0"/>
        <w:jc w:val="center"/>
        <w:rPr>
          <w:noProof/>
          <w:lang w:eastAsia="en-GB"/>
        </w:rPr>
      </w:pPr>
      <w:r w:rsidRPr="00EB3FEC">
        <w:rPr>
          <w:noProof/>
        </w:rPr>
        <w:drawing>
          <wp:inline distT="0" distB="0" distL="0" distR="0" wp14:anchorId="227ECF2D" wp14:editId="6BBC44D3">
            <wp:extent cx="9518015" cy="5794382"/>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18015" cy="5794382"/>
                    </a:xfrm>
                    <a:prstGeom prst="rect">
                      <a:avLst/>
                    </a:prstGeom>
                    <a:noFill/>
                    <a:ln>
                      <a:noFill/>
                    </a:ln>
                  </pic:spPr>
                </pic:pic>
              </a:graphicData>
            </a:graphic>
          </wp:inline>
        </w:drawing>
      </w:r>
    </w:p>
    <w:p w14:paraId="45FD8C45" w14:textId="62517B06" w:rsidR="00D20694" w:rsidRPr="000420F5" w:rsidRDefault="00D20694" w:rsidP="00D20694">
      <w:pPr>
        <w:spacing w:after="0"/>
        <w:jc w:val="center"/>
        <w:rPr>
          <w:noProof/>
          <w:sz w:val="4"/>
          <w:szCs w:val="4"/>
          <w:lang w:eastAsia="en-GB"/>
        </w:rPr>
      </w:pPr>
    </w:p>
    <w:p w14:paraId="2AFB10A7" w14:textId="77777777" w:rsidR="00125622" w:rsidRDefault="00125622" w:rsidP="00B37F55">
      <w:pPr>
        <w:spacing w:after="0"/>
        <w:jc w:val="both"/>
        <w:rPr>
          <w:sz w:val="8"/>
          <w:szCs w:val="8"/>
        </w:rPr>
      </w:pPr>
    </w:p>
    <w:p w14:paraId="7CBAAB7C" w14:textId="3A7CF95C" w:rsidR="006515F7" w:rsidRDefault="006515F7" w:rsidP="00B37F55">
      <w:pPr>
        <w:spacing w:after="0"/>
        <w:jc w:val="both"/>
        <w:rPr>
          <w:sz w:val="8"/>
          <w:szCs w:val="8"/>
        </w:rPr>
      </w:pPr>
    </w:p>
    <w:p w14:paraId="2051A591" w14:textId="2BAB1776" w:rsidR="00BE0E54" w:rsidRDefault="00BE0E54" w:rsidP="00B37F55">
      <w:pPr>
        <w:spacing w:after="0"/>
        <w:jc w:val="both"/>
        <w:rPr>
          <w:sz w:val="8"/>
          <w:szCs w:val="8"/>
        </w:rPr>
      </w:pPr>
    </w:p>
    <w:p w14:paraId="77496657" w14:textId="77777777" w:rsidR="00BE0E54" w:rsidRDefault="00BE0E54" w:rsidP="00B37F55">
      <w:pPr>
        <w:spacing w:after="0"/>
        <w:jc w:val="both"/>
        <w:rPr>
          <w:sz w:val="8"/>
          <w:szCs w:val="8"/>
        </w:rPr>
      </w:pPr>
    </w:p>
    <w:p w14:paraId="55E8206C" w14:textId="77777777" w:rsidR="00BE0E54" w:rsidRDefault="00BE0E54" w:rsidP="00B37F55">
      <w:pPr>
        <w:spacing w:after="0"/>
        <w:jc w:val="both"/>
        <w:rPr>
          <w:sz w:val="8"/>
          <w:szCs w:val="8"/>
        </w:rPr>
      </w:pPr>
    </w:p>
    <w:p w14:paraId="4530C326" w14:textId="77777777" w:rsidR="00BE0E54" w:rsidRDefault="00BE0E54" w:rsidP="00B37F55">
      <w:pPr>
        <w:spacing w:after="0"/>
        <w:jc w:val="both"/>
        <w:rPr>
          <w:sz w:val="8"/>
          <w:szCs w:val="8"/>
        </w:rPr>
      </w:pPr>
    </w:p>
    <w:p w14:paraId="7ABB6291" w14:textId="77777777" w:rsidR="00BE0E54" w:rsidRDefault="00BE0E54" w:rsidP="00B37F55">
      <w:pPr>
        <w:spacing w:after="0"/>
        <w:jc w:val="both"/>
        <w:rPr>
          <w:sz w:val="8"/>
          <w:szCs w:val="8"/>
        </w:rPr>
      </w:pPr>
    </w:p>
    <w:p w14:paraId="01C145BF" w14:textId="77777777" w:rsidR="00BE0E54" w:rsidRDefault="00BE0E54" w:rsidP="00B37F55">
      <w:pPr>
        <w:spacing w:after="0"/>
        <w:jc w:val="both"/>
        <w:rPr>
          <w:sz w:val="8"/>
          <w:szCs w:val="8"/>
        </w:rPr>
      </w:pPr>
    </w:p>
    <w:p w14:paraId="6E9D679B" w14:textId="77777777" w:rsidR="00BE0E54" w:rsidRDefault="00BE0E54" w:rsidP="00B37F55">
      <w:pPr>
        <w:spacing w:after="0"/>
        <w:jc w:val="both"/>
        <w:rPr>
          <w:sz w:val="8"/>
          <w:szCs w:val="8"/>
        </w:rPr>
      </w:pPr>
    </w:p>
    <w:p w14:paraId="279CA07F" w14:textId="77777777" w:rsidR="00BE0E54" w:rsidRDefault="00BE0E54" w:rsidP="00B37F55">
      <w:pPr>
        <w:spacing w:after="0"/>
        <w:jc w:val="both"/>
        <w:rPr>
          <w:sz w:val="8"/>
          <w:szCs w:val="8"/>
        </w:rPr>
      </w:pPr>
    </w:p>
    <w:p w14:paraId="3EC5E401" w14:textId="77777777" w:rsidR="00BE0E54" w:rsidRDefault="00BE0E54" w:rsidP="00B37F55">
      <w:pPr>
        <w:spacing w:after="0"/>
        <w:jc w:val="both"/>
        <w:rPr>
          <w:sz w:val="8"/>
          <w:szCs w:val="8"/>
        </w:rPr>
      </w:pPr>
    </w:p>
    <w:p w14:paraId="48C8D939" w14:textId="77777777" w:rsidR="00BE0E54" w:rsidRDefault="00BE0E54" w:rsidP="00B37F55">
      <w:pPr>
        <w:spacing w:after="0"/>
        <w:jc w:val="both"/>
        <w:rPr>
          <w:sz w:val="8"/>
          <w:szCs w:val="8"/>
        </w:rPr>
      </w:pPr>
    </w:p>
    <w:p w14:paraId="5C4237E5" w14:textId="77777777" w:rsidR="00BE0E54" w:rsidRDefault="00BE0E54" w:rsidP="00B37F55">
      <w:pPr>
        <w:spacing w:after="0"/>
        <w:jc w:val="both"/>
        <w:rPr>
          <w:sz w:val="8"/>
          <w:szCs w:val="8"/>
        </w:rPr>
      </w:pPr>
    </w:p>
    <w:p w14:paraId="73674460" w14:textId="77777777" w:rsidR="00BE0E54" w:rsidRDefault="00BE0E54" w:rsidP="00B37F55">
      <w:pPr>
        <w:spacing w:after="0"/>
        <w:jc w:val="both"/>
        <w:rPr>
          <w:sz w:val="8"/>
          <w:szCs w:val="8"/>
        </w:rPr>
      </w:pPr>
    </w:p>
    <w:p w14:paraId="40D4BBBB" w14:textId="77777777" w:rsidR="00F11068" w:rsidRPr="000420F5" w:rsidRDefault="00F11068" w:rsidP="00F11068">
      <w:pPr>
        <w:spacing w:after="0" w:line="240" w:lineRule="auto"/>
        <w:rPr>
          <w:sz w:val="8"/>
          <w:szCs w:val="8"/>
        </w:rPr>
      </w:pP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14979"/>
      </w:tblGrid>
      <w:tr w:rsidR="00AF2B29" w:rsidRPr="000420F5" w14:paraId="04671147" w14:textId="77777777" w:rsidTr="00F11068">
        <w:trPr>
          <w:trHeight w:val="413"/>
        </w:trPr>
        <w:tc>
          <w:tcPr>
            <w:tcW w:w="5000" w:type="pct"/>
            <w:shd w:val="clear" w:color="auto" w:fill="D9D9D9" w:themeFill="background1" w:themeFillShade="D9"/>
          </w:tcPr>
          <w:p w14:paraId="3C32D01F" w14:textId="72464E20" w:rsidR="00AF2B29" w:rsidRPr="000420F5" w:rsidRDefault="00083C6B" w:rsidP="004E0C22">
            <w:pPr>
              <w:spacing w:before="120" w:after="120"/>
              <w:jc w:val="center"/>
              <w:rPr>
                <w:rFonts w:ascii="Arial" w:eastAsia="Arial Unicode MS" w:hAnsi="Arial" w:cs="Arial"/>
              </w:rPr>
            </w:pPr>
            <w:r w:rsidRPr="000420F5">
              <w:rPr>
                <w:rFonts w:ascii="Arial" w:hAnsi="Arial" w:cs="Arial"/>
                <w:b/>
                <w:bCs/>
              </w:rPr>
              <w:t xml:space="preserve">Annex </w:t>
            </w:r>
            <w:r w:rsidR="00B457F5">
              <w:rPr>
                <w:rFonts w:ascii="Arial" w:hAnsi="Arial" w:cs="Arial"/>
                <w:b/>
                <w:bCs/>
              </w:rPr>
              <w:t>H</w:t>
            </w:r>
            <w:r w:rsidRPr="000420F5">
              <w:rPr>
                <w:rFonts w:ascii="Arial" w:hAnsi="Arial" w:cs="Arial"/>
                <w:b/>
                <w:bCs/>
              </w:rPr>
              <w:t xml:space="preserve"> – Liquidity r</w:t>
            </w:r>
            <w:r w:rsidR="00AF2B29" w:rsidRPr="000420F5">
              <w:rPr>
                <w:rFonts w:ascii="Arial" w:hAnsi="Arial" w:cs="Arial"/>
                <w:b/>
                <w:bCs/>
              </w:rPr>
              <w:t>eport</w:t>
            </w:r>
          </w:p>
        </w:tc>
      </w:tr>
    </w:tbl>
    <w:p w14:paraId="010E865F" w14:textId="77777777" w:rsidR="00AF2B29" w:rsidRPr="000420F5" w:rsidRDefault="00AF2B29">
      <w:pPr>
        <w:jc w:val="both"/>
        <w:rPr>
          <w:rFonts w:ascii="Arial" w:hAnsi="Arial" w:cs="Arial"/>
          <w:sz w:val="8"/>
          <w:szCs w:val="8"/>
        </w:rPr>
      </w:pPr>
    </w:p>
    <w:p w14:paraId="2545991E" w14:textId="78A19682" w:rsidR="00A64396" w:rsidRPr="000420F5" w:rsidRDefault="00767273" w:rsidP="00A64396">
      <w:pPr>
        <w:spacing w:before="120" w:after="120"/>
        <w:jc w:val="center"/>
        <w:rPr>
          <w:rFonts w:ascii="Arial" w:hAnsi="Arial" w:cs="Arial"/>
        </w:rPr>
        <w:sectPr w:rsidR="00A64396" w:rsidRPr="000420F5" w:rsidSect="00C32922">
          <w:pgSz w:w="15840" w:h="12240" w:orient="landscape"/>
          <w:pgMar w:top="567" w:right="567" w:bottom="284" w:left="284" w:header="709" w:footer="369" w:gutter="0"/>
          <w:cols w:space="708"/>
          <w:docGrid w:linePitch="360"/>
        </w:sectPr>
      </w:pPr>
      <w:r w:rsidRPr="00767273">
        <w:rPr>
          <w:noProof/>
        </w:rPr>
        <w:drawing>
          <wp:inline distT="0" distB="0" distL="0" distR="0" wp14:anchorId="572E88A9" wp14:editId="3D407491">
            <wp:extent cx="9518015" cy="5620591"/>
            <wp:effectExtent l="0" t="0" r="698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18015" cy="5620591"/>
                    </a:xfrm>
                    <a:prstGeom prst="rect">
                      <a:avLst/>
                    </a:prstGeom>
                    <a:noFill/>
                    <a:ln>
                      <a:noFill/>
                    </a:ln>
                  </pic:spPr>
                </pic:pic>
              </a:graphicData>
            </a:graphic>
          </wp:inline>
        </w:drawing>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CellMar>
          <w:left w:w="0" w:type="dxa"/>
          <w:right w:w="0" w:type="dxa"/>
        </w:tblCellMar>
        <w:tblLook w:val="0000" w:firstRow="0" w:lastRow="0" w:firstColumn="0" w:lastColumn="0" w:noHBand="0" w:noVBand="0"/>
      </w:tblPr>
      <w:tblGrid>
        <w:gridCol w:w="11379"/>
      </w:tblGrid>
      <w:tr w:rsidR="00AF2B29" w:rsidRPr="000420F5" w14:paraId="50038A20" w14:textId="77777777" w:rsidTr="00F11068">
        <w:trPr>
          <w:trHeight w:val="442"/>
        </w:trPr>
        <w:tc>
          <w:tcPr>
            <w:tcW w:w="5000" w:type="pct"/>
            <w:shd w:val="clear" w:color="auto" w:fill="D9D9D9" w:themeFill="background1" w:themeFillShade="D9"/>
            <w:vAlign w:val="center"/>
          </w:tcPr>
          <w:p w14:paraId="7A0FECFC" w14:textId="3B2FCD0C" w:rsidR="00AF2B29" w:rsidRPr="000420F5" w:rsidRDefault="00AF2B29" w:rsidP="004E0C22">
            <w:pPr>
              <w:spacing w:after="0"/>
              <w:jc w:val="center"/>
              <w:rPr>
                <w:rFonts w:ascii="Arial" w:eastAsia="Arial Unicode MS" w:hAnsi="Arial" w:cs="Arial"/>
              </w:rPr>
            </w:pPr>
            <w:r w:rsidRPr="000420F5">
              <w:rPr>
                <w:rFonts w:ascii="Arial" w:hAnsi="Arial" w:cs="Arial"/>
              </w:rPr>
              <w:lastRenderedPageBreak/>
              <w:br w:type="page"/>
            </w:r>
            <w:r w:rsidRPr="000420F5">
              <w:rPr>
                <w:rFonts w:ascii="Arial" w:hAnsi="Arial" w:cs="Arial"/>
              </w:rPr>
              <w:br w:type="page"/>
            </w:r>
            <w:r w:rsidRPr="000420F5">
              <w:rPr>
                <w:rFonts w:ascii="Arial" w:hAnsi="Arial" w:cs="Arial"/>
                <w:b/>
                <w:bCs/>
              </w:rPr>
              <w:t>Annex</w:t>
            </w:r>
            <w:r w:rsidR="00B457F5">
              <w:rPr>
                <w:rFonts w:ascii="Arial" w:hAnsi="Arial" w:cs="Arial"/>
                <w:b/>
                <w:bCs/>
              </w:rPr>
              <w:t xml:space="preserve"> I</w:t>
            </w:r>
            <w:r w:rsidR="00017CA1">
              <w:rPr>
                <w:rFonts w:ascii="Arial" w:hAnsi="Arial" w:cs="Arial"/>
                <w:b/>
                <w:bCs/>
              </w:rPr>
              <w:t xml:space="preserve"> </w:t>
            </w:r>
            <w:r w:rsidRPr="000420F5">
              <w:rPr>
                <w:rFonts w:ascii="Arial" w:hAnsi="Arial" w:cs="Arial"/>
                <w:b/>
                <w:bCs/>
              </w:rPr>
              <w:t>– Debtors</w:t>
            </w:r>
            <w:r w:rsidR="00017CA1">
              <w:rPr>
                <w:rFonts w:ascii="Arial" w:hAnsi="Arial" w:cs="Arial"/>
                <w:b/>
                <w:bCs/>
              </w:rPr>
              <w:t xml:space="preserve"> </w:t>
            </w:r>
          </w:p>
        </w:tc>
      </w:tr>
    </w:tbl>
    <w:p w14:paraId="32D6D88C" w14:textId="77777777" w:rsidR="00370E28" w:rsidRPr="000420F5" w:rsidRDefault="00370E28" w:rsidP="00D20694">
      <w:pPr>
        <w:autoSpaceDE w:val="0"/>
        <w:autoSpaceDN w:val="0"/>
        <w:adjustRightInd w:val="0"/>
        <w:spacing w:after="0" w:line="240" w:lineRule="auto"/>
        <w:jc w:val="both"/>
        <w:rPr>
          <w:rFonts w:ascii="Arial" w:hAnsi="Arial" w:cs="Arial"/>
          <w:b/>
          <w:sz w:val="20"/>
          <w:szCs w:val="20"/>
        </w:rPr>
      </w:pPr>
    </w:p>
    <w:p w14:paraId="773E546A" w14:textId="60333723" w:rsidR="00015AC0" w:rsidRPr="000420F5" w:rsidRDefault="009A52CF" w:rsidP="00EA448D">
      <w:pPr>
        <w:autoSpaceDE w:val="0"/>
        <w:autoSpaceDN w:val="0"/>
        <w:adjustRightInd w:val="0"/>
        <w:spacing w:after="0" w:line="240" w:lineRule="auto"/>
        <w:jc w:val="center"/>
        <w:rPr>
          <w:rFonts w:ascii="Arial" w:hAnsi="Arial" w:cs="Arial"/>
          <w:b/>
          <w:sz w:val="20"/>
          <w:szCs w:val="20"/>
        </w:rPr>
      </w:pPr>
      <w:r w:rsidRPr="009A52CF">
        <w:rPr>
          <w:noProof/>
        </w:rPr>
        <w:drawing>
          <wp:inline distT="0" distB="0" distL="0" distR="0" wp14:anchorId="232F3A0C" wp14:editId="2BFB3BD5">
            <wp:extent cx="6886575" cy="28956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86575" cy="2895600"/>
                    </a:xfrm>
                    <a:prstGeom prst="rect">
                      <a:avLst/>
                    </a:prstGeom>
                    <a:noFill/>
                    <a:ln>
                      <a:noFill/>
                    </a:ln>
                  </pic:spPr>
                </pic:pic>
              </a:graphicData>
            </a:graphic>
          </wp:inline>
        </w:drawing>
      </w:r>
    </w:p>
    <w:p w14:paraId="2D395361" w14:textId="74FF5A3A" w:rsidR="00A64396" w:rsidRDefault="00A64396" w:rsidP="00D20694">
      <w:pPr>
        <w:autoSpaceDE w:val="0"/>
        <w:autoSpaceDN w:val="0"/>
        <w:adjustRightInd w:val="0"/>
        <w:spacing w:after="0" w:line="240" w:lineRule="auto"/>
        <w:jc w:val="both"/>
        <w:rPr>
          <w:rFonts w:ascii="Arial" w:hAnsi="Arial" w:cs="Arial"/>
          <w:b/>
          <w:sz w:val="20"/>
          <w:szCs w:val="20"/>
        </w:rPr>
      </w:pPr>
    </w:p>
    <w:p w14:paraId="07E759E7" w14:textId="77777777" w:rsidR="00656C96" w:rsidRPr="000420F5" w:rsidRDefault="00656C96" w:rsidP="00656C96">
      <w:pPr>
        <w:autoSpaceDE w:val="0"/>
        <w:autoSpaceDN w:val="0"/>
        <w:adjustRightInd w:val="0"/>
        <w:spacing w:after="0" w:line="240" w:lineRule="auto"/>
        <w:ind w:left="720" w:firstLine="720"/>
        <w:jc w:val="both"/>
        <w:rPr>
          <w:rFonts w:ascii="Arial" w:hAnsi="Arial" w:cs="Arial"/>
          <w:b/>
          <w:sz w:val="20"/>
          <w:szCs w:val="20"/>
        </w:rPr>
      </w:pPr>
      <w:r w:rsidRPr="000420F5">
        <w:rPr>
          <w:rFonts w:ascii="Arial" w:hAnsi="Arial" w:cs="Arial"/>
          <w:b/>
          <w:sz w:val="20"/>
          <w:szCs w:val="20"/>
        </w:rPr>
        <w:t>Large value debt over 60 days (&gt;£0.</w:t>
      </w:r>
      <w:r>
        <w:rPr>
          <w:rFonts w:ascii="Arial" w:hAnsi="Arial" w:cs="Arial"/>
          <w:b/>
          <w:sz w:val="20"/>
          <w:szCs w:val="20"/>
        </w:rPr>
        <w:t>2</w:t>
      </w:r>
      <w:r w:rsidRPr="000420F5">
        <w:rPr>
          <w:rFonts w:ascii="Arial" w:hAnsi="Arial" w:cs="Arial"/>
          <w:b/>
          <w:sz w:val="20"/>
          <w:szCs w:val="20"/>
        </w:rPr>
        <w:t>m)</w:t>
      </w:r>
    </w:p>
    <w:p w14:paraId="03355F01" w14:textId="5707EB31" w:rsidR="00656C96" w:rsidRDefault="00656C96" w:rsidP="00D20694">
      <w:pPr>
        <w:autoSpaceDE w:val="0"/>
        <w:autoSpaceDN w:val="0"/>
        <w:adjustRightInd w:val="0"/>
        <w:spacing w:after="0" w:line="240" w:lineRule="auto"/>
        <w:jc w:val="both"/>
        <w:rPr>
          <w:rFonts w:ascii="Arial" w:hAnsi="Arial" w:cs="Arial"/>
          <w:b/>
          <w:sz w:val="20"/>
          <w:szCs w:val="20"/>
        </w:rPr>
      </w:pPr>
    </w:p>
    <w:p w14:paraId="65D6A984" w14:textId="77320A50" w:rsidR="00656C96" w:rsidRDefault="00656C96" w:rsidP="00D20694">
      <w:pPr>
        <w:autoSpaceDE w:val="0"/>
        <w:autoSpaceDN w:val="0"/>
        <w:adjustRightInd w:val="0"/>
        <w:spacing w:after="0" w:line="240" w:lineRule="auto"/>
        <w:jc w:val="both"/>
        <w:rPr>
          <w:rFonts w:ascii="Arial" w:hAnsi="Arial" w:cs="Arial"/>
          <w:b/>
          <w:sz w:val="20"/>
          <w:szCs w:val="20"/>
        </w:rPr>
      </w:pPr>
    </w:p>
    <w:p w14:paraId="55C28557" w14:textId="7FA67079" w:rsidR="00656C96" w:rsidRDefault="00383FD9" w:rsidP="006C5C41">
      <w:pPr>
        <w:autoSpaceDE w:val="0"/>
        <w:autoSpaceDN w:val="0"/>
        <w:adjustRightInd w:val="0"/>
        <w:spacing w:after="0" w:line="240" w:lineRule="auto"/>
        <w:jc w:val="center"/>
        <w:rPr>
          <w:rFonts w:ascii="Arial" w:hAnsi="Arial" w:cs="Arial"/>
          <w:b/>
          <w:sz w:val="20"/>
          <w:szCs w:val="20"/>
        </w:rPr>
      </w:pPr>
      <w:r w:rsidRPr="00383FD9">
        <w:rPr>
          <w:noProof/>
        </w:rPr>
        <w:drawing>
          <wp:inline distT="0" distB="0" distL="0" distR="0" wp14:anchorId="6650B345" wp14:editId="6BE8935C">
            <wp:extent cx="5314950" cy="49244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14950" cy="4924425"/>
                    </a:xfrm>
                    <a:prstGeom prst="rect">
                      <a:avLst/>
                    </a:prstGeom>
                    <a:noFill/>
                    <a:ln>
                      <a:noFill/>
                    </a:ln>
                  </pic:spPr>
                </pic:pic>
              </a:graphicData>
            </a:graphic>
          </wp:inline>
        </w:drawing>
      </w:r>
    </w:p>
    <w:p w14:paraId="77CC8EF6" w14:textId="7D957BA9" w:rsidR="00656C96" w:rsidRDefault="00656C96" w:rsidP="00D20694">
      <w:pPr>
        <w:autoSpaceDE w:val="0"/>
        <w:autoSpaceDN w:val="0"/>
        <w:adjustRightInd w:val="0"/>
        <w:spacing w:after="0" w:line="240" w:lineRule="auto"/>
        <w:jc w:val="both"/>
        <w:rPr>
          <w:rFonts w:ascii="Arial" w:hAnsi="Arial" w:cs="Arial"/>
          <w:b/>
          <w:sz w:val="20"/>
          <w:szCs w:val="20"/>
        </w:rPr>
      </w:pPr>
    </w:p>
    <w:p w14:paraId="6AB5EBD1" w14:textId="6024A0A4" w:rsidR="00656C96" w:rsidRDefault="00656C96" w:rsidP="00D20694">
      <w:pPr>
        <w:autoSpaceDE w:val="0"/>
        <w:autoSpaceDN w:val="0"/>
        <w:adjustRightInd w:val="0"/>
        <w:spacing w:after="0" w:line="240" w:lineRule="auto"/>
        <w:jc w:val="both"/>
        <w:rPr>
          <w:rFonts w:ascii="Arial" w:hAnsi="Arial" w:cs="Arial"/>
          <w:b/>
          <w:sz w:val="20"/>
          <w:szCs w:val="20"/>
        </w:rPr>
      </w:pPr>
    </w:p>
    <w:p w14:paraId="7833AD1C" w14:textId="77777777" w:rsidR="00656C96" w:rsidRPr="000420F5" w:rsidRDefault="00656C96" w:rsidP="00D20694">
      <w:pPr>
        <w:autoSpaceDE w:val="0"/>
        <w:autoSpaceDN w:val="0"/>
        <w:adjustRightInd w:val="0"/>
        <w:spacing w:after="0" w:line="240" w:lineRule="auto"/>
        <w:jc w:val="both"/>
        <w:rPr>
          <w:rFonts w:ascii="Arial" w:hAnsi="Arial" w:cs="Arial"/>
          <w:b/>
          <w:sz w:val="20"/>
          <w:szCs w:val="20"/>
        </w:rPr>
      </w:pPr>
    </w:p>
    <w:p w14:paraId="274B896C" w14:textId="6BE410E3" w:rsidR="006D0F3E" w:rsidRDefault="006D0F3E" w:rsidP="001A72B6">
      <w:pPr>
        <w:tabs>
          <w:tab w:val="left" w:pos="5055"/>
        </w:tabs>
        <w:spacing w:before="120" w:after="120"/>
        <w:jc w:val="center"/>
        <w:rPr>
          <w:rFonts w:ascii="Arial" w:hAnsi="Arial" w:cs="Arial"/>
          <w:sz w:val="20"/>
          <w:szCs w:val="20"/>
        </w:rPr>
      </w:pPr>
    </w:p>
    <w:p w14:paraId="350FE912" w14:textId="77777777" w:rsidR="0067704D" w:rsidRPr="000420F5" w:rsidRDefault="0067704D" w:rsidP="001A72B6">
      <w:pPr>
        <w:tabs>
          <w:tab w:val="left" w:pos="5055"/>
        </w:tabs>
        <w:spacing w:before="120" w:after="120"/>
        <w:jc w:val="center"/>
        <w:rPr>
          <w:rFonts w:ascii="Arial" w:hAnsi="Arial" w:cs="Arial"/>
          <w:sz w:val="20"/>
          <w:szCs w:val="20"/>
        </w:rPr>
        <w:sectPr w:rsidR="0067704D" w:rsidRPr="000420F5" w:rsidSect="00C32922">
          <w:pgSz w:w="12240" w:h="15840"/>
          <w:pgMar w:top="567" w:right="567" w:bottom="284" w:left="284" w:header="709" w:footer="709" w:gutter="0"/>
          <w:cols w:space="708"/>
          <w:docGrid w:linePitch="360"/>
        </w:sectPr>
      </w:pPr>
    </w:p>
    <w:tbl>
      <w:tblPr>
        <w:tblStyle w:val="TableGrid"/>
        <w:tblW w:w="0" w:type="auto"/>
        <w:shd w:val="clear" w:color="auto" w:fill="D9D9D9" w:themeFill="background1" w:themeFillShade="D9"/>
        <w:tblLook w:val="04A0" w:firstRow="1" w:lastRow="0" w:firstColumn="1" w:lastColumn="0" w:noHBand="0" w:noVBand="1"/>
      </w:tblPr>
      <w:tblGrid>
        <w:gridCol w:w="14979"/>
      </w:tblGrid>
      <w:tr w:rsidR="003F6ED2" w14:paraId="24BD93C6" w14:textId="77777777" w:rsidTr="00812B0F">
        <w:tc>
          <w:tcPr>
            <w:tcW w:w="14979" w:type="dxa"/>
            <w:shd w:val="clear" w:color="auto" w:fill="D9D9D9" w:themeFill="background1" w:themeFillShade="D9"/>
          </w:tcPr>
          <w:p w14:paraId="1B72F8C0" w14:textId="2C053500" w:rsidR="003F6ED2" w:rsidRPr="00AD340C" w:rsidRDefault="003F6ED2" w:rsidP="003F6ED2">
            <w:pPr>
              <w:jc w:val="center"/>
              <w:rPr>
                <w:rFonts w:ascii="Arial" w:hAnsi="Arial" w:cs="Arial"/>
                <w:b/>
              </w:rPr>
            </w:pPr>
            <w:r w:rsidRPr="00AD340C">
              <w:lastRenderedPageBreak/>
              <w:br w:type="page"/>
            </w:r>
            <w:r w:rsidRPr="00AD340C">
              <w:rPr>
                <w:rFonts w:ascii="Arial" w:hAnsi="Arial" w:cs="Arial"/>
                <w:b/>
              </w:rPr>
              <w:t xml:space="preserve">Annex </w:t>
            </w:r>
            <w:r w:rsidR="00B457F5">
              <w:rPr>
                <w:rFonts w:ascii="Arial" w:hAnsi="Arial" w:cs="Arial"/>
                <w:b/>
              </w:rPr>
              <w:t>J</w:t>
            </w:r>
            <w:r w:rsidRPr="00AD340C">
              <w:rPr>
                <w:rFonts w:ascii="Arial" w:hAnsi="Arial" w:cs="Arial"/>
                <w:b/>
              </w:rPr>
              <w:t xml:space="preserve"> – Embassy Debt</w:t>
            </w:r>
          </w:p>
        </w:tc>
      </w:tr>
    </w:tbl>
    <w:tbl>
      <w:tblPr>
        <w:tblW w:w="14737" w:type="dxa"/>
        <w:tblLook w:val="04A0" w:firstRow="1" w:lastRow="0" w:firstColumn="1" w:lastColumn="0" w:noHBand="0" w:noVBand="1"/>
      </w:tblPr>
      <w:tblGrid>
        <w:gridCol w:w="1260"/>
        <w:gridCol w:w="1380"/>
        <w:gridCol w:w="960"/>
        <w:gridCol w:w="920"/>
        <w:gridCol w:w="900"/>
        <w:gridCol w:w="920"/>
        <w:gridCol w:w="880"/>
        <w:gridCol w:w="900"/>
        <w:gridCol w:w="880"/>
        <w:gridCol w:w="920"/>
        <w:gridCol w:w="880"/>
        <w:gridCol w:w="880"/>
        <w:gridCol w:w="920"/>
        <w:gridCol w:w="880"/>
        <w:gridCol w:w="1257"/>
      </w:tblGrid>
      <w:tr w:rsidR="00432C73" w:rsidRPr="00432C73" w14:paraId="5EF9827A" w14:textId="77777777" w:rsidTr="005206E0">
        <w:trPr>
          <w:trHeight w:val="225"/>
        </w:trPr>
        <w:tc>
          <w:tcPr>
            <w:tcW w:w="1260" w:type="dxa"/>
            <w:tcBorders>
              <w:top w:val="single" w:sz="4" w:space="0" w:color="auto"/>
              <w:left w:val="single" w:sz="4" w:space="0" w:color="auto"/>
              <w:bottom w:val="nil"/>
              <w:right w:val="nil"/>
            </w:tcBorders>
            <w:shd w:val="clear" w:color="000000" w:fill="FFFFFF"/>
            <w:noWrap/>
            <w:vAlign w:val="bottom"/>
            <w:hideMark/>
          </w:tcPr>
          <w:p w14:paraId="5CE9197E" w14:textId="77777777" w:rsidR="00432C73" w:rsidRPr="00432C73" w:rsidRDefault="00432C73" w:rsidP="00432C73">
            <w:pPr>
              <w:spacing w:after="0" w:line="240" w:lineRule="auto"/>
              <w:rPr>
                <w:b/>
                <w:bCs/>
                <w:color w:val="000000"/>
                <w:sz w:val="16"/>
                <w:szCs w:val="16"/>
                <w:lang w:eastAsia="en-GB"/>
              </w:rPr>
            </w:pPr>
            <w:r w:rsidRPr="00432C73">
              <w:rPr>
                <w:b/>
                <w:bCs/>
                <w:color w:val="000000"/>
                <w:sz w:val="16"/>
                <w:szCs w:val="16"/>
                <w:lang w:eastAsia="en-GB"/>
              </w:rPr>
              <w:t>KMO</w:t>
            </w:r>
          </w:p>
        </w:tc>
        <w:tc>
          <w:tcPr>
            <w:tcW w:w="1380" w:type="dxa"/>
            <w:tcBorders>
              <w:top w:val="single" w:sz="4" w:space="0" w:color="auto"/>
              <w:left w:val="nil"/>
              <w:bottom w:val="nil"/>
              <w:right w:val="nil"/>
            </w:tcBorders>
            <w:shd w:val="clear" w:color="000000" w:fill="FFFFFF"/>
            <w:noWrap/>
            <w:vAlign w:val="bottom"/>
            <w:hideMark/>
          </w:tcPr>
          <w:p w14:paraId="7583EF2E" w14:textId="77777777" w:rsidR="00432C73" w:rsidRPr="00432C73" w:rsidRDefault="00432C73" w:rsidP="00432C73">
            <w:pPr>
              <w:spacing w:after="0" w:line="240" w:lineRule="auto"/>
              <w:rPr>
                <w:sz w:val="16"/>
                <w:szCs w:val="16"/>
                <w:lang w:eastAsia="en-GB"/>
              </w:rPr>
            </w:pPr>
            <w:r w:rsidRPr="00432C73">
              <w:rPr>
                <w:sz w:val="16"/>
                <w:szCs w:val="16"/>
                <w:lang w:eastAsia="en-GB"/>
              </w:rPr>
              <w:t> </w:t>
            </w:r>
          </w:p>
        </w:tc>
        <w:tc>
          <w:tcPr>
            <w:tcW w:w="960" w:type="dxa"/>
            <w:tcBorders>
              <w:top w:val="single" w:sz="4" w:space="0" w:color="auto"/>
              <w:left w:val="nil"/>
              <w:bottom w:val="nil"/>
              <w:right w:val="nil"/>
            </w:tcBorders>
            <w:shd w:val="clear" w:color="000000" w:fill="FFFFFF"/>
            <w:noWrap/>
            <w:vAlign w:val="bottom"/>
            <w:hideMark/>
          </w:tcPr>
          <w:p w14:paraId="617BB3F1" w14:textId="77777777" w:rsidR="00432C73" w:rsidRPr="00432C73" w:rsidRDefault="00432C73" w:rsidP="00432C73">
            <w:pPr>
              <w:spacing w:after="0" w:line="240" w:lineRule="auto"/>
              <w:jc w:val="center"/>
              <w:rPr>
                <w:sz w:val="16"/>
                <w:szCs w:val="16"/>
                <w:lang w:eastAsia="en-GB"/>
              </w:rPr>
            </w:pPr>
            <w:r w:rsidRPr="00432C73">
              <w:rPr>
                <w:sz w:val="16"/>
                <w:szCs w:val="16"/>
                <w:lang w:eastAsia="en-GB"/>
              </w:rPr>
              <w:t>Nov-18</w:t>
            </w:r>
          </w:p>
        </w:tc>
        <w:tc>
          <w:tcPr>
            <w:tcW w:w="920" w:type="dxa"/>
            <w:tcBorders>
              <w:top w:val="single" w:sz="4" w:space="0" w:color="auto"/>
              <w:left w:val="nil"/>
              <w:bottom w:val="nil"/>
              <w:right w:val="nil"/>
            </w:tcBorders>
            <w:shd w:val="clear" w:color="000000" w:fill="FFFFFF"/>
            <w:noWrap/>
            <w:vAlign w:val="bottom"/>
            <w:hideMark/>
          </w:tcPr>
          <w:p w14:paraId="61B304AF" w14:textId="77777777" w:rsidR="00432C73" w:rsidRPr="00432C73" w:rsidRDefault="00432C73" w:rsidP="00432C73">
            <w:pPr>
              <w:spacing w:after="0" w:line="240" w:lineRule="auto"/>
              <w:jc w:val="center"/>
              <w:rPr>
                <w:sz w:val="16"/>
                <w:szCs w:val="16"/>
                <w:lang w:eastAsia="en-GB"/>
              </w:rPr>
            </w:pPr>
            <w:r w:rsidRPr="00432C73">
              <w:rPr>
                <w:sz w:val="16"/>
                <w:szCs w:val="16"/>
                <w:lang w:eastAsia="en-GB"/>
              </w:rPr>
              <w:t>Dec-18</w:t>
            </w:r>
          </w:p>
        </w:tc>
        <w:tc>
          <w:tcPr>
            <w:tcW w:w="900" w:type="dxa"/>
            <w:tcBorders>
              <w:top w:val="single" w:sz="4" w:space="0" w:color="auto"/>
              <w:left w:val="nil"/>
              <w:bottom w:val="nil"/>
              <w:right w:val="nil"/>
            </w:tcBorders>
            <w:shd w:val="clear" w:color="000000" w:fill="FFFFFF"/>
            <w:noWrap/>
            <w:vAlign w:val="bottom"/>
            <w:hideMark/>
          </w:tcPr>
          <w:p w14:paraId="2BC78923" w14:textId="77777777" w:rsidR="00432C73" w:rsidRPr="00432C73" w:rsidRDefault="00432C73" w:rsidP="00432C73">
            <w:pPr>
              <w:spacing w:after="0" w:line="240" w:lineRule="auto"/>
              <w:jc w:val="center"/>
              <w:rPr>
                <w:sz w:val="16"/>
                <w:szCs w:val="16"/>
                <w:lang w:eastAsia="en-GB"/>
              </w:rPr>
            </w:pPr>
            <w:r w:rsidRPr="00432C73">
              <w:rPr>
                <w:sz w:val="16"/>
                <w:szCs w:val="16"/>
                <w:lang w:eastAsia="en-GB"/>
              </w:rPr>
              <w:t>Jan-19</w:t>
            </w:r>
          </w:p>
        </w:tc>
        <w:tc>
          <w:tcPr>
            <w:tcW w:w="920" w:type="dxa"/>
            <w:tcBorders>
              <w:top w:val="single" w:sz="4" w:space="0" w:color="auto"/>
              <w:left w:val="nil"/>
              <w:bottom w:val="nil"/>
              <w:right w:val="nil"/>
            </w:tcBorders>
            <w:shd w:val="clear" w:color="000000" w:fill="FFFFFF"/>
            <w:noWrap/>
            <w:vAlign w:val="bottom"/>
            <w:hideMark/>
          </w:tcPr>
          <w:p w14:paraId="20E4DC35" w14:textId="77777777" w:rsidR="00432C73" w:rsidRPr="00432C73" w:rsidRDefault="00432C73" w:rsidP="00432C73">
            <w:pPr>
              <w:spacing w:after="0" w:line="240" w:lineRule="auto"/>
              <w:jc w:val="center"/>
              <w:rPr>
                <w:sz w:val="16"/>
                <w:szCs w:val="16"/>
                <w:lang w:eastAsia="en-GB"/>
              </w:rPr>
            </w:pPr>
            <w:r w:rsidRPr="00432C73">
              <w:rPr>
                <w:sz w:val="16"/>
                <w:szCs w:val="16"/>
                <w:lang w:eastAsia="en-GB"/>
              </w:rPr>
              <w:t>Feb-19</w:t>
            </w:r>
          </w:p>
        </w:tc>
        <w:tc>
          <w:tcPr>
            <w:tcW w:w="880" w:type="dxa"/>
            <w:tcBorders>
              <w:top w:val="single" w:sz="4" w:space="0" w:color="auto"/>
              <w:left w:val="nil"/>
              <w:bottom w:val="nil"/>
              <w:right w:val="nil"/>
            </w:tcBorders>
            <w:shd w:val="clear" w:color="000000" w:fill="FFFFFF"/>
            <w:noWrap/>
            <w:vAlign w:val="bottom"/>
            <w:hideMark/>
          </w:tcPr>
          <w:p w14:paraId="06E0A497" w14:textId="77777777" w:rsidR="00432C73" w:rsidRPr="00432C73" w:rsidRDefault="00432C73" w:rsidP="00432C73">
            <w:pPr>
              <w:spacing w:after="0" w:line="240" w:lineRule="auto"/>
              <w:jc w:val="center"/>
              <w:rPr>
                <w:sz w:val="16"/>
                <w:szCs w:val="16"/>
                <w:lang w:eastAsia="en-GB"/>
              </w:rPr>
            </w:pPr>
            <w:r w:rsidRPr="00432C73">
              <w:rPr>
                <w:sz w:val="16"/>
                <w:szCs w:val="16"/>
                <w:lang w:eastAsia="en-GB"/>
              </w:rPr>
              <w:t>Mar-19</w:t>
            </w:r>
          </w:p>
        </w:tc>
        <w:tc>
          <w:tcPr>
            <w:tcW w:w="900" w:type="dxa"/>
            <w:tcBorders>
              <w:top w:val="single" w:sz="4" w:space="0" w:color="auto"/>
              <w:left w:val="nil"/>
              <w:bottom w:val="nil"/>
              <w:right w:val="nil"/>
            </w:tcBorders>
            <w:shd w:val="clear" w:color="000000" w:fill="FFFFFF"/>
            <w:noWrap/>
            <w:vAlign w:val="bottom"/>
            <w:hideMark/>
          </w:tcPr>
          <w:p w14:paraId="7316E555" w14:textId="77777777" w:rsidR="00432C73" w:rsidRPr="00432C73" w:rsidRDefault="00432C73" w:rsidP="00432C73">
            <w:pPr>
              <w:spacing w:after="0" w:line="240" w:lineRule="auto"/>
              <w:jc w:val="center"/>
              <w:rPr>
                <w:sz w:val="16"/>
                <w:szCs w:val="16"/>
                <w:lang w:eastAsia="en-GB"/>
              </w:rPr>
            </w:pPr>
            <w:r w:rsidRPr="00432C73">
              <w:rPr>
                <w:sz w:val="16"/>
                <w:szCs w:val="16"/>
                <w:lang w:eastAsia="en-GB"/>
              </w:rPr>
              <w:t>Apr-19</w:t>
            </w:r>
          </w:p>
        </w:tc>
        <w:tc>
          <w:tcPr>
            <w:tcW w:w="880" w:type="dxa"/>
            <w:tcBorders>
              <w:top w:val="single" w:sz="4" w:space="0" w:color="auto"/>
              <w:left w:val="nil"/>
              <w:bottom w:val="nil"/>
              <w:right w:val="nil"/>
            </w:tcBorders>
            <w:shd w:val="clear" w:color="000000" w:fill="FFFFFF"/>
            <w:noWrap/>
            <w:vAlign w:val="bottom"/>
            <w:hideMark/>
          </w:tcPr>
          <w:p w14:paraId="5068DBB9" w14:textId="77777777" w:rsidR="00432C73" w:rsidRPr="00432C73" w:rsidRDefault="00432C73" w:rsidP="00432C73">
            <w:pPr>
              <w:spacing w:after="0" w:line="240" w:lineRule="auto"/>
              <w:jc w:val="center"/>
              <w:rPr>
                <w:sz w:val="16"/>
                <w:szCs w:val="16"/>
                <w:lang w:eastAsia="en-GB"/>
              </w:rPr>
            </w:pPr>
            <w:r w:rsidRPr="00432C73">
              <w:rPr>
                <w:sz w:val="16"/>
                <w:szCs w:val="16"/>
                <w:lang w:eastAsia="en-GB"/>
              </w:rPr>
              <w:t>May-19</w:t>
            </w:r>
          </w:p>
        </w:tc>
        <w:tc>
          <w:tcPr>
            <w:tcW w:w="920" w:type="dxa"/>
            <w:tcBorders>
              <w:top w:val="single" w:sz="4" w:space="0" w:color="auto"/>
              <w:left w:val="nil"/>
              <w:bottom w:val="nil"/>
              <w:right w:val="nil"/>
            </w:tcBorders>
            <w:shd w:val="clear" w:color="000000" w:fill="FFFFFF"/>
            <w:noWrap/>
            <w:vAlign w:val="bottom"/>
            <w:hideMark/>
          </w:tcPr>
          <w:p w14:paraId="61C22D22" w14:textId="77777777" w:rsidR="00432C73" w:rsidRPr="00432C73" w:rsidRDefault="00432C73" w:rsidP="00432C73">
            <w:pPr>
              <w:spacing w:after="0" w:line="240" w:lineRule="auto"/>
              <w:jc w:val="center"/>
              <w:rPr>
                <w:sz w:val="16"/>
                <w:szCs w:val="16"/>
                <w:lang w:eastAsia="en-GB"/>
              </w:rPr>
            </w:pPr>
            <w:r w:rsidRPr="00432C73">
              <w:rPr>
                <w:sz w:val="16"/>
                <w:szCs w:val="16"/>
                <w:lang w:eastAsia="en-GB"/>
              </w:rPr>
              <w:t>Jun-19</w:t>
            </w:r>
          </w:p>
        </w:tc>
        <w:tc>
          <w:tcPr>
            <w:tcW w:w="880" w:type="dxa"/>
            <w:tcBorders>
              <w:top w:val="single" w:sz="4" w:space="0" w:color="auto"/>
              <w:left w:val="nil"/>
              <w:bottom w:val="nil"/>
              <w:right w:val="nil"/>
            </w:tcBorders>
            <w:shd w:val="clear" w:color="000000" w:fill="FFFFFF"/>
            <w:noWrap/>
            <w:vAlign w:val="bottom"/>
            <w:hideMark/>
          </w:tcPr>
          <w:p w14:paraId="714A64E3" w14:textId="77777777" w:rsidR="00432C73" w:rsidRPr="00432C73" w:rsidRDefault="00432C73" w:rsidP="00432C73">
            <w:pPr>
              <w:spacing w:after="0" w:line="240" w:lineRule="auto"/>
              <w:jc w:val="center"/>
              <w:rPr>
                <w:sz w:val="16"/>
                <w:szCs w:val="16"/>
                <w:lang w:eastAsia="en-GB"/>
              </w:rPr>
            </w:pPr>
            <w:r w:rsidRPr="00432C73">
              <w:rPr>
                <w:sz w:val="16"/>
                <w:szCs w:val="16"/>
                <w:lang w:eastAsia="en-GB"/>
              </w:rPr>
              <w:t>Jul-19</w:t>
            </w:r>
          </w:p>
        </w:tc>
        <w:tc>
          <w:tcPr>
            <w:tcW w:w="880" w:type="dxa"/>
            <w:tcBorders>
              <w:top w:val="single" w:sz="4" w:space="0" w:color="auto"/>
              <w:left w:val="nil"/>
              <w:bottom w:val="nil"/>
              <w:right w:val="nil"/>
            </w:tcBorders>
            <w:shd w:val="clear" w:color="000000" w:fill="FFFFFF"/>
            <w:noWrap/>
            <w:vAlign w:val="bottom"/>
            <w:hideMark/>
          </w:tcPr>
          <w:p w14:paraId="4E0D5C1D" w14:textId="77777777" w:rsidR="00432C73" w:rsidRPr="00432C73" w:rsidRDefault="00432C73" w:rsidP="00432C73">
            <w:pPr>
              <w:spacing w:after="0" w:line="240" w:lineRule="auto"/>
              <w:jc w:val="center"/>
              <w:rPr>
                <w:sz w:val="16"/>
                <w:szCs w:val="16"/>
                <w:lang w:eastAsia="en-GB"/>
              </w:rPr>
            </w:pPr>
            <w:r w:rsidRPr="00432C73">
              <w:rPr>
                <w:sz w:val="16"/>
                <w:szCs w:val="16"/>
                <w:lang w:eastAsia="en-GB"/>
              </w:rPr>
              <w:t>Aug-19</w:t>
            </w:r>
          </w:p>
        </w:tc>
        <w:tc>
          <w:tcPr>
            <w:tcW w:w="920" w:type="dxa"/>
            <w:tcBorders>
              <w:top w:val="single" w:sz="4" w:space="0" w:color="auto"/>
              <w:left w:val="nil"/>
              <w:bottom w:val="nil"/>
              <w:right w:val="nil"/>
            </w:tcBorders>
            <w:shd w:val="clear" w:color="000000" w:fill="FFFFFF"/>
            <w:noWrap/>
            <w:vAlign w:val="bottom"/>
            <w:hideMark/>
          </w:tcPr>
          <w:p w14:paraId="7193A3EB" w14:textId="77777777" w:rsidR="00432C73" w:rsidRPr="00432C73" w:rsidRDefault="00432C73" w:rsidP="00432C73">
            <w:pPr>
              <w:spacing w:after="0" w:line="240" w:lineRule="auto"/>
              <w:jc w:val="center"/>
              <w:rPr>
                <w:sz w:val="16"/>
                <w:szCs w:val="16"/>
                <w:lang w:eastAsia="en-GB"/>
              </w:rPr>
            </w:pPr>
            <w:r w:rsidRPr="00432C73">
              <w:rPr>
                <w:sz w:val="16"/>
                <w:szCs w:val="16"/>
                <w:lang w:eastAsia="en-GB"/>
              </w:rPr>
              <w:t>Sep-19</w:t>
            </w:r>
          </w:p>
        </w:tc>
        <w:tc>
          <w:tcPr>
            <w:tcW w:w="880" w:type="dxa"/>
            <w:tcBorders>
              <w:top w:val="single" w:sz="4" w:space="0" w:color="auto"/>
              <w:left w:val="nil"/>
              <w:bottom w:val="nil"/>
              <w:right w:val="nil"/>
            </w:tcBorders>
            <w:shd w:val="clear" w:color="000000" w:fill="FFFFFF"/>
            <w:noWrap/>
            <w:vAlign w:val="bottom"/>
            <w:hideMark/>
          </w:tcPr>
          <w:p w14:paraId="480450FA" w14:textId="77777777" w:rsidR="00432C73" w:rsidRPr="00432C73" w:rsidRDefault="00432C73" w:rsidP="00432C73">
            <w:pPr>
              <w:spacing w:after="0" w:line="240" w:lineRule="auto"/>
              <w:jc w:val="center"/>
              <w:rPr>
                <w:sz w:val="16"/>
                <w:szCs w:val="16"/>
                <w:lang w:eastAsia="en-GB"/>
              </w:rPr>
            </w:pPr>
            <w:r w:rsidRPr="00432C73">
              <w:rPr>
                <w:sz w:val="16"/>
                <w:szCs w:val="16"/>
                <w:lang w:eastAsia="en-GB"/>
              </w:rPr>
              <w:t>Oct-19</w:t>
            </w:r>
          </w:p>
        </w:tc>
        <w:tc>
          <w:tcPr>
            <w:tcW w:w="1257" w:type="dxa"/>
            <w:tcBorders>
              <w:top w:val="single" w:sz="4" w:space="0" w:color="auto"/>
              <w:left w:val="nil"/>
              <w:bottom w:val="nil"/>
              <w:right w:val="single" w:sz="4" w:space="0" w:color="auto"/>
            </w:tcBorders>
            <w:shd w:val="clear" w:color="000000" w:fill="FFFFFF"/>
            <w:noWrap/>
            <w:vAlign w:val="bottom"/>
            <w:hideMark/>
          </w:tcPr>
          <w:p w14:paraId="68A36228" w14:textId="77777777" w:rsidR="00432C73" w:rsidRPr="00432C73" w:rsidRDefault="00432C73" w:rsidP="00432C73">
            <w:pPr>
              <w:spacing w:after="0" w:line="240" w:lineRule="auto"/>
              <w:jc w:val="center"/>
              <w:rPr>
                <w:b/>
                <w:bCs/>
                <w:color w:val="000000"/>
                <w:sz w:val="16"/>
                <w:szCs w:val="16"/>
                <w:lang w:eastAsia="en-GB"/>
              </w:rPr>
            </w:pPr>
            <w:r w:rsidRPr="00432C73">
              <w:rPr>
                <w:b/>
                <w:bCs/>
                <w:color w:val="000000"/>
                <w:sz w:val="16"/>
                <w:szCs w:val="16"/>
                <w:lang w:eastAsia="en-GB"/>
              </w:rPr>
              <w:t>12 mth Sum</w:t>
            </w:r>
          </w:p>
        </w:tc>
      </w:tr>
      <w:tr w:rsidR="00432C73" w:rsidRPr="00432C73" w14:paraId="2804611A" w14:textId="77777777" w:rsidTr="005206E0">
        <w:trPr>
          <w:trHeight w:val="225"/>
        </w:trPr>
        <w:tc>
          <w:tcPr>
            <w:tcW w:w="1260" w:type="dxa"/>
            <w:tcBorders>
              <w:top w:val="nil"/>
              <w:left w:val="single" w:sz="4" w:space="0" w:color="auto"/>
              <w:bottom w:val="nil"/>
              <w:right w:val="nil"/>
            </w:tcBorders>
            <w:shd w:val="clear" w:color="000000" w:fill="FFFFFF"/>
            <w:noWrap/>
            <w:vAlign w:val="bottom"/>
            <w:hideMark/>
          </w:tcPr>
          <w:p w14:paraId="250F7C61" w14:textId="77777777" w:rsidR="00432C73" w:rsidRPr="00432C73" w:rsidRDefault="00432C73" w:rsidP="00432C73">
            <w:pPr>
              <w:spacing w:after="0" w:line="240" w:lineRule="auto"/>
              <w:rPr>
                <w:b/>
                <w:bCs/>
                <w:color w:val="000000"/>
                <w:sz w:val="16"/>
                <w:szCs w:val="16"/>
                <w:lang w:eastAsia="en-GB"/>
              </w:rPr>
            </w:pPr>
            <w:r w:rsidRPr="00432C73">
              <w:rPr>
                <w:b/>
                <w:bCs/>
                <w:color w:val="000000"/>
                <w:sz w:val="16"/>
                <w:szCs w:val="16"/>
                <w:lang w:eastAsia="en-GB"/>
              </w:rPr>
              <w:t> </w:t>
            </w:r>
          </w:p>
        </w:tc>
        <w:tc>
          <w:tcPr>
            <w:tcW w:w="1380" w:type="dxa"/>
            <w:tcBorders>
              <w:top w:val="nil"/>
              <w:left w:val="nil"/>
              <w:bottom w:val="nil"/>
              <w:right w:val="nil"/>
            </w:tcBorders>
            <w:shd w:val="clear" w:color="000000" w:fill="FFFFFF"/>
            <w:noWrap/>
            <w:vAlign w:val="bottom"/>
            <w:hideMark/>
          </w:tcPr>
          <w:p w14:paraId="5E236AF4" w14:textId="77777777" w:rsidR="00432C73" w:rsidRPr="00432C73" w:rsidRDefault="00432C73" w:rsidP="00432C73">
            <w:pPr>
              <w:spacing w:after="0" w:line="240" w:lineRule="auto"/>
              <w:rPr>
                <w:sz w:val="16"/>
                <w:szCs w:val="16"/>
                <w:lang w:eastAsia="en-GB"/>
              </w:rPr>
            </w:pPr>
            <w:r w:rsidRPr="00432C73">
              <w:rPr>
                <w:sz w:val="16"/>
                <w:szCs w:val="16"/>
                <w:lang w:eastAsia="en-GB"/>
              </w:rPr>
              <w:t> </w:t>
            </w:r>
          </w:p>
        </w:tc>
        <w:tc>
          <w:tcPr>
            <w:tcW w:w="960" w:type="dxa"/>
            <w:tcBorders>
              <w:top w:val="nil"/>
              <w:left w:val="nil"/>
              <w:bottom w:val="nil"/>
              <w:right w:val="nil"/>
            </w:tcBorders>
            <w:shd w:val="clear" w:color="000000" w:fill="FFFFFF"/>
            <w:noWrap/>
            <w:vAlign w:val="bottom"/>
            <w:hideMark/>
          </w:tcPr>
          <w:p w14:paraId="0FCB0B0E" w14:textId="77777777" w:rsidR="00432C73" w:rsidRPr="00432C73" w:rsidRDefault="00432C73" w:rsidP="00432C73">
            <w:pPr>
              <w:spacing w:after="0" w:line="240" w:lineRule="auto"/>
              <w:jc w:val="center"/>
              <w:rPr>
                <w:sz w:val="16"/>
                <w:szCs w:val="16"/>
                <w:lang w:eastAsia="en-GB"/>
              </w:rPr>
            </w:pPr>
            <w:r w:rsidRPr="00432C73">
              <w:rPr>
                <w:sz w:val="16"/>
                <w:szCs w:val="16"/>
                <w:lang w:eastAsia="en-GB"/>
              </w:rPr>
              <w:t>£'000</w:t>
            </w:r>
          </w:p>
        </w:tc>
        <w:tc>
          <w:tcPr>
            <w:tcW w:w="920" w:type="dxa"/>
            <w:tcBorders>
              <w:top w:val="nil"/>
              <w:left w:val="nil"/>
              <w:bottom w:val="nil"/>
              <w:right w:val="nil"/>
            </w:tcBorders>
            <w:shd w:val="clear" w:color="000000" w:fill="FFFFFF"/>
            <w:noWrap/>
            <w:vAlign w:val="bottom"/>
            <w:hideMark/>
          </w:tcPr>
          <w:p w14:paraId="7B73C796" w14:textId="77777777" w:rsidR="00432C73" w:rsidRPr="00432C73" w:rsidRDefault="00432C73" w:rsidP="00432C73">
            <w:pPr>
              <w:spacing w:after="0" w:line="240" w:lineRule="auto"/>
              <w:jc w:val="center"/>
              <w:rPr>
                <w:sz w:val="16"/>
                <w:szCs w:val="16"/>
                <w:lang w:eastAsia="en-GB"/>
              </w:rPr>
            </w:pPr>
            <w:r w:rsidRPr="00432C73">
              <w:rPr>
                <w:sz w:val="16"/>
                <w:szCs w:val="16"/>
                <w:lang w:eastAsia="en-GB"/>
              </w:rPr>
              <w:t>£'000</w:t>
            </w:r>
          </w:p>
        </w:tc>
        <w:tc>
          <w:tcPr>
            <w:tcW w:w="900" w:type="dxa"/>
            <w:tcBorders>
              <w:top w:val="nil"/>
              <w:left w:val="nil"/>
              <w:bottom w:val="nil"/>
              <w:right w:val="nil"/>
            </w:tcBorders>
            <w:shd w:val="clear" w:color="000000" w:fill="FFFFFF"/>
            <w:noWrap/>
            <w:vAlign w:val="bottom"/>
            <w:hideMark/>
          </w:tcPr>
          <w:p w14:paraId="23BCCBD7" w14:textId="77777777" w:rsidR="00432C73" w:rsidRPr="00432C73" w:rsidRDefault="00432C73" w:rsidP="00432C73">
            <w:pPr>
              <w:spacing w:after="0" w:line="240" w:lineRule="auto"/>
              <w:jc w:val="center"/>
              <w:rPr>
                <w:sz w:val="16"/>
                <w:szCs w:val="16"/>
                <w:lang w:eastAsia="en-GB"/>
              </w:rPr>
            </w:pPr>
            <w:r w:rsidRPr="00432C73">
              <w:rPr>
                <w:sz w:val="16"/>
                <w:szCs w:val="16"/>
                <w:lang w:eastAsia="en-GB"/>
              </w:rPr>
              <w:t>£'000</w:t>
            </w:r>
          </w:p>
        </w:tc>
        <w:tc>
          <w:tcPr>
            <w:tcW w:w="920" w:type="dxa"/>
            <w:tcBorders>
              <w:top w:val="nil"/>
              <w:left w:val="nil"/>
              <w:bottom w:val="nil"/>
              <w:right w:val="nil"/>
            </w:tcBorders>
            <w:shd w:val="clear" w:color="000000" w:fill="FFFFFF"/>
            <w:noWrap/>
            <w:vAlign w:val="bottom"/>
            <w:hideMark/>
          </w:tcPr>
          <w:p w14:paraId="1CE4C4CF" w14:textId="77777777" w:rsidR="00432C73" w:rsidRPr="00432C73" w:rsidRDefault="00432C73" w:rsidP="00432C73">
            <w:pPr>
              <w:spacing w:after="0" w:line="240" w:lineRule="auto"/>
              <w:jc w:val="center"/>
              <w:rPr>
                <w:sz w:val="16"/>
                <w:szCs w:val="16"/>
                <w:lang w:eastAsia="en-GB"/>
              </w:rPr>
            </w:pPr>
            <w:r w:rsidRPr="00432C73">
              <w:rPr>
                <w:sz w:val="16"/>
                <w:szCs w:val="16"/>
                <w:lang w:eastAsia="en-GB"/>
              </w:rPr>
              <w:t>£'000</w:t>
            </w:r>
          </w:p>
        </w:tc>
        <w:tc>
          <w:tcPr>
            <w:tcW w:w="880" w:type="dxa"/>
            <w:tcBorders>
              <w:top w:val="nil"/>
              <w:left w:val="nil"/>
              <w:bottom w:val="nil"/>
              <w:right w:val="nil"/>
            </w:tcBorders>
            <w:shd w:val="clear" w:color="000000" w:fill="FFFFFF"/>
            <w:noWrap/>
            <w:vAlign w:val="bottom"/>
            <w:hideMark/>
          </w:tcPr>
          <w:p w14:paraId="0F5EFA8A" w14:textId="77777777" w:rsidR="00432C73" w:rsidRPr="00432C73" w:rsidRDefault="00432C73" w:rsidP="00432C73">
            <w:pPr>
              <w:spacing w:after="0" w:line="240" w:lineRule="auto"/>
              <w:jc w:val="center"/>
              <w:rPr>
                <w:sz w:val="16"/>
                <w:szCs w:val="16"/>
                <w:lang w:eastAsia="en-GB"/>
              </w:rPr>
            </w:pPr>
            <w:r w:rsidRPr="00432C73">
              <w:rPr>
                <w:sz w:val="16"/>
                <w:szCs w:val="16"/>
                <w:lang w:eastAsia="en-GB"/>
              </w:rPr>
              <w:t>£'000</w:t>
            </w:r>
          </w:p>
        </w:tc>
        <w:tc>
          <w:tcPr>
            <w:tcW w:w="900" w:type="dxa"/>
            <w:tcBorders>
              <w:top w:val="nil"/>
              <w:left w:val="nil"/>
              <w:bottom w:val="nil"/>
              <w:right w:val="nil"/>
            </w:tcBorders>
            <w:shd w:val="clear" w:color="000000" w:fill="FFFFFF"/>
            <w:noWrap/>
            <w:vAlign w:val="bottom"/>
            <w:hideMark/>
          </w:tcPr>
          <w:p w14:paraId="49BE4298" w14:textId="77777777" w:rsidR="00432C73" w:rsidRPr="00432C73" w:rsidRDefault="00432C73" w:rsidP="00432C73">
            <w:pPr>
              <w:spacing w:after="0" w:line="240" w:lineRule="auto"/>
              <w:jc w:val="center"/>
              <w:rPr>
                <w:sz w:val="16"/>
                <w:szCs w:val="16"/>
                <w:lang w:eastAsia="en-GB"/>
              </w:rPr>
            </w:pPr>
            <w:r w:rsidRPr="00432C73">
              <w:rPr>
                <w:sz w:val="16"/>
                <w:szCs w:val="16"/>
                <w:lang w:eastAsia="en-GB"/>
              </w:rPr>
              <w:t>£'000</w:t>
            </w:r>
          </w:p>
        </w:tc>
        <w:tc>
          <w:tcPr>
            <w:tcW w:w="880" w:type="dxa"/>
            <w:tcBorders>
              <w:top w:val="nil"/>
              <w:left w:val="nil"/>
              <w:bottom w:val="nil"/>
              <w:right w:val="nil"/>
            </w:tcBorders>
            <w:shd w:val="clear" w:color="000000" w:fill="FFFFFF"/>
            <w:noWrap/>
            <w:vAlign w:val="bottom"/>
            <w:hideMark/>
          </w:tcPr>
          <w:p w14:paraId="230D9F7B" w14:textId="77777777" w:rsidR="00432C73" w:rsidRPr="00432C73" w:rsidRDefault="00432C73" w:rsidP="00432C73">
            <w:pPr>
              <w:spacing w:after="0" w:line="240" w:lineRule="auto"/>
              <w:jc w:val="center"/>
              <w:rPr>
                <w:sz w:val="16"/>
                <w:szCs w:val="16"/>
                <w:lang w:eastAsia="en-GB"/>
              </w:rPr>
            </w:pPr>
            <w:r w:rsidRPr="00432C73">
              <w:rPr>
                <w:sz w:val="16"/>
                <w:szCs w:val="16"/>
                <w:lang w:eastAsia="en-GB"/>
              </w:rPr>
              <w:t>£'000</w:t>
            </w:r>
          </w:p>
        </w:tc>
        <w:tc>
          <w:tcPr>
            <w:tcW w:w="920" w:type="dxa"/>
            <w:tcBorders>
              <w:top w:val="nil"/>
              <w:left w:val="nil"/>
              <w:bottom w:val="nil"/>
              <w:right w:val="nil"/>
            </w:tcBorders>
            <w:shd w:val="clear" w:color="000000" w:fill="FFFFFF"/>
            <w:noWrap/>
            <w:vAlign w:val="bottom"/>
            <w:hideMark/>
          </w:tcPr>
          <w:p w14:paraId="5CABF87D" w14:textId="77777777" w:rsidR="00432C73" w:rsidRPr="00432C73" w:rsidRDefault="00432C73" w:rsidP="00432C73">
            <w:pPr>
              <w:spacing w:after="0" w:line="240" w:lineRule="auto"/>
              <w:jc w:val="center"/>
              <w:rPr>
                <w:sz w:val="16"/>
                <w:szCs w:val="16"/>
                <w:lang w:eastAsia="en-GB"/>
              </w:rPr>
            </w:pPr>
            <w:r w:rsidRPr="00432C73">
              <w:rPr>
                <w:sz w:val="16"/>
                <w:szCs w:val="16"/>
                <w:lang w:eastAsia="en-GB"/>
              </w:rPr>
              <w:t>£'000</w:t>
            </w:r>
          </w:p>
        </w:tc>
        <w:tc>
          <w:tcPr>
            <w:tcW w:w="880" w:type="dxa"/>
            <w:tcBorders>
              <w:top w:val="nil"/>
              <w:left w:val="nil"/>
              <w:bottom w:val="nil"/>
              <w:right w:val="nil"/>
            </w:tcBorders>
            <w:shd w:val="clear" w:color="000000" w:fill="FFFFFF"/>
            <w:noWrap/>
            <w:vAlign w:val="bottom"/>
            <w:hideMark/>
          </w:tcPr>
          <w:p w14:paraId="4C68C633" w14:textId="77777777" w:rsidR="00432C73" w:rsidRPr="00432C73" w:rsidRDefault="00432C73" w:rsidP="00432C73">
            <w:pPr>
              <w:spacing w:after="0" w:line="240" w:lineRule="auto"/>
              <w:jc w:val="center"/>
              <w:rPr>
                <w:sz w:val="16"/>
                <w:szCs w:val="16"/>
                <w:lang w:eastAsia="en-GB"/>
              </w:rPr>
            </w:pPr>
            <w:r w:rsidRPr="00432C73">
              <w:rPr>
                <w:sz w:val="16"/>
                <w:szCs w:val="16"/>
                <w:lang w:eastAsia="en-GB"/>
              </w:rPr>
              <w:t>£'000</w:t>
            </w:r>
          </w:p>
        </w:tc>
        <w:tc>
          <w:tcPr>
            <w:tcW w:w="880" w:type="dxa"/>
            <w:tcBorders>
              <w:top w:val="nil"/>
              <w:left w:val="nil"/>
              <w:bottom w:val="nil"/>
              <w:right w:val="nil"/>
            </w:tcBorders>
            <w:shd w:val="clear" w:color="000000" w:fill="FFFFFF"/>
            <w:noWrap/>
            <w:vAlign w:val="bottom"/>
            <w:hideMark/>
          </w:tcPr>
          <w:p w14:paraId="6A8876DB" w14:textId="77777777" w:rsidR="00432C73" w:rsidRPr="00432C73" w:rsidRDefault="00432C73" w:rsidP="00432C73">
            <w:pPr>
              <w:spacing w:after="0" w:line="240" w:lineRule="auto"/>
              <w:jc w:val="center"/>
              <w:rPr>
                <w:sz w:val="16"/>
                <w:szCs w:val="16"/>
                <w:lang w:eastAsia="en-GB"/>
              </w:rPr>
            </w:pPr>
            <w:r w:rsidRPr="00432C73">
              <w:rPr>
                <w:sz w:val="16"/>
                <w:szCs w:val="16"/>
                <w:lang w:eastAsia="en-GB"/>
              </w:rPr>
              <w:t>£'000</w:t>
            </w:r>
          </w:p>
        </w:tc>
        <w:tc>
          <w:tcPr>
            <w:tcW w:w="920" w:type="dxa"/>
            <w:tcBorders>
              <w:top w:val="nil"/>
              <w:left w:val="nil"/>
              <w:bottom w:val="nil"/>
              <w:right w:val="nil"/>
            </w:tcBorders>
            <w:shd w:val="clear" w:color="000000" w:fill="FFFFFF"/>
            <w:noWrap/>
            <w:vAlign w:val="bottom"/>
            <w:hideMark/>
          </w:tcPr>
          <w:p w14:paraId="104491B8" w14:textId="77777777" w:rsidR="00432C73" w:rsidRPr="00432C73" w:rsidRDefault="00432C73" w:rsidP="00432C73">
            <w:pPr>
              <w:spacing w:after="0" w:line="240" w:lineRule="auto"/>
              <w:jc w:val="center"/>
              <w:rPr>
                <w:sz w:val="16"/>
                <w:szCs w:val="16"/>
                <w:lang w:eastAsia="en-GB"/>
              </w:rPr>
            </w:pPr>
            <w:r w:rsidRPr="00432C73">
              <w:rPr>
                <w:sz w:val="16"/>
                <w:szCs w:val="16"/>
                <w:lang w:eastAsia="en-GB"/>
              </w:rPr>
              <w:t>£'000</w:t>
            </w:r>
          </w:p>
        </w:tc>
        <w:tc>
          <w:tcPr>
            <w:tcW w:w="880" w:type="dxa"/>
            <w:tcBorders>
              <w:top w:val="nil"/>
              <w:left w:val="nil"/>
              <w:bottom w:val="nil"/>
              <w:right w:val="nil"/>
            </w:tcBorders>
            <w:shd w:val="clear" w:color="000000" w:fill="FFFFFF"/>
            <w:noWrap/>
            <w:vAlign w:val="bottom"/>
            <w:hideMark/>
          </w:tcPr>
          <w:p w14:paraId="3196F15F" w14:textId="77777777" w:rsidR="00432C73" w:rsidRPr="00432C73" w:rsidRDefault="00432C73" w:rsidP="00432C73">
            <w:pPr>
              <w:spacing w:after="0" w:line="240" w:lineRule="auto"/>
              <w:jc w:val="center"/>
              <w:rPr>
                <w:sz w:val="16"/>
                <w:szCs w:val="16"/>
                <w:lang w:eastAsia="en-GB"/>
              </w:rPr>
            </w:pPr>
            <w:r w:rsidRPr="00432C73">
              <w:rPr>
                <w:sz w:val="16"/>
                <w:szCs w:val="16"/>
                <w:lang w:eastAsia="en-GB"/>
              </w:rPr>
              <w:t>£'000</w:t>
            </w:r>
          </w:p>
        </w:tc>
        <w:tc>
          <w:tcPr>
            <w:tcW w:w="1257" w:type="dxa"/>
            <w:tcBorders>
              <w:top w:val="nil"/>
              <w:left w:val="nil"/>
              <w:bottom w:val="nil"/>
              <w:right w:val="single" w:sz="4" w:space="0" w:color="auto"/>
            </w:tcBorders>
            <w:shd w:val="clear" w:color="000000" w:fill="FFFFFF"/>
            <w:noWrap/>
            <w:vAlign w:val="bottom"/>
            <w:hideMark/>
          </w:tcPr>
          <w:p w14:paraId="06B6A5D4" w14:textId="77777777" w:rsidR="00432C73" w:rsidRPr="00432C73" w:rsidRDefault="00432C73" w:rsidP="00432C73">
            <w:pPr>
              <w:spacing w:after="0" w:line="240" w:lineRule="auto"/>
              <w:jc w:val="center"/>
              <w:rPr>
                <w:b/>
                <w:bCs/>
                <w:color w:val="000000"/>
                <w:sz w:val="16"/>
                <w:szCs w:val="16"/>
                <w:lang w:eastAsia="en-GB"/>
              </w:rPr>
            </w:pPr>
            <w:r w:rsidRPr="00432C73">
              <w:rPr>
                <w:b/>
                <w:bCs/>
                <w:color w:val="000000"/>
                <w:sz w:val="16"/>
                <w:szCs w:val="16"/>
                <w:lang w:eastAsia="en-GB"/>
              </w:rPr>
              <w:t>£'000</w:t>
            </w:r>
          </w:p>
        </w:tc>
      </w:tr>
      <w:tr w:rsidR="00432C73" w:rsidRPr="00432C73" w14:paraId="2946E6C6" w14:textId="77777777" w:rsidTr="005206E0">
        <w:trPr>
          <w:trHeight w:val="225"/>
        </w:trPr>
        <w:tc>
          <w:tcPr>
            <w:tcW w:w="1260" w:type="dxa"/>
            <w:tcBorders>
              <w:top w:val="nil"/>
              <w:left w:val="single" w:sz="4" w:space="0" w:color="auto"/>
              <w:bottom w:val="nil"/>
              <w:right w:val="nil"/>
            </w:tcBorders>
            <w:shd w:val="clear" w:color="000000" w:fill="FFFFFF"/>
            <w:noWrap/>
            <w:vAlign w:val="bottom"/>
            <w:hideMark/>
          </w:tcPr>
          <w:p w14:paraId="4B0DE6EE" w14:textId="77777777" w:rsidR="00432C73" w:rsidRPr="00432C73" w:rsidRDefault="00432C73" w:rsidP="00432C73">
            <w:pPr>
              <w:spacing w:after="0" w:line="240" w:lineRule="auto"/>
              <w:rPr>
                <w:b/>
                <w:bCs/>
                <w:color w:val="000000"/>
                <w:sz w:val="16"/>
                <w:szCs w:val="16"/>
                <w:lang w:eastAsia="en-GB"/>
              </w:rPr>
            </w:pPr>
            <w:r w:rsidRPr="00432C73">
              <w:rPr>
                <w:b/>
                <w:bCs/>
                <w:color w:val="000000"/>
                <w:sz w:val="16"/>
                <w:szCs w:val="16"/>
                <w:lang w:eastAsia="en-GB"/>
              </w:rPr>
              <w:t> </w:t>
            </w:r>
          </w:p>
        </w:tc>
        <w:tc>
          <w:tcPr>
            <w:tcW w:w="1380" w:type="dxa"/>
            <w:tcBorders>
              <w:top w:val="nil"/>
              <w:left w:val="nil"/>
              <w:bottom w:val="nil"/>
              <w:right w:val="nil"/>
            </w:tcBorders>
            <w:shd w:val="clear" w:color="000000" w:fill="FFFFFF"/>
            <w:noWrap/>
            <w:vAlign w:val="bottom"/>
            <w:hideMark/>
          </w:tcPr>
          <w:p w14:paraId="6F61130C" w14:textId="77777777" w:rsidR="00432C73" w:rsidRPr="00432C73" w:rsidRDefault="00432C73" w:rsidP="00432C73">
            <w:pPr>
              <w:spacing w:after="0" w:line="240" w:lineRule="auto"/>
              <w:rPr>
                <w:sz w:val="16"/>
                <w:szCs w:val="16"/>
                <w:lang w:eastAsia="en-GB"/>
              </w:rPr>
            </w:pPr>
            <w:r w:rsidRPr="00432C73">
              <w:rPr>
                <w:sz w:val="16"/>
                <w:szCs w:val="16"/>
                <w:lang w:eastAsia="en-GB"/>
              </w:rPr>
              <w:t>Opening Debtors</w:t>
            </w:r>
          </w:p>
        </w:tc>
        <w:tc>
          <w:tcPr>
            <w:tcW w:w="960" w:type="dxa"/>
            <w:tcBorders>
              <w:top w:val="nil"/>
              <w:left w:val="nil"/>
              <w:bottom w:val="nil"/>
              <w:right w:val="nil"/>
            </w:tcBorders>
            <w:shd w:val="clear" w:color="000000" w:fill="FFFFFF"/>
            <w:noWrap/>
            <w:vAlign w:val="bottom"/>
            <w:hideMark/>
          </w:tcPr>
          <w:p w14:paraId="7A24A459"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1,180</w:t>
            </w:r>
          </w:p>
        </w:tc>
        <w:tc>
          <w:tcPr>
            <w:tcW w:w="920" w:type="dxa"/>
            <w:tcBorders>
              <w:top w:val="nil"/>
              <w:left w:val="nil"/>
              <w:bottom w:val="nil"/>
              <w:right w:val="nil"/>
            </w:tcBorders>
            <w:shd w:val="clear" w:color="000000" w:fill="FFFFFF"/>
            <w:noWrap/>
            <w:vAlign w:val="bottom"/>
            <w:hideMark/>
          </w:tcPr>
          <w:p w14:paraId="6AC1E73C"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1,184</w:t>
            </w:r>
          </w:p>
        </w:tc>
        <w:tc>
          <w:tcPr>
            <w:tcW w:w="900" w:type="dxa"/>
            <w:tcBorders>
              <w:top w:val="nil"/>
              <w:left w:val="nil"/>
              <w:bottom w:val="nil"/>
              <w:right w:val="nil"/>
            </w:tcBorders>
            <w:shd w:val="clear" w:color="000000" w:fill="FFFFFF"/>
            <w:noWrap/>
            <w:vAlign w:val="bottom"/>
            <w:hideMark/>
          </w:tcPr>
          <w:p w14:paraId="2BD0E135"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1,192</w:t>
            </w:r>
          </w:p>
        </w:tc>
        <w:tc>
          <w:tcPr>
            <w:tcW w:w="920" w:type="dxa"/>
            <w:tcBorders>
              <w:top w:val="nil"/>
              <w:left w:val="nil"/>
              <w:bottom w:val="nil"/>
              <w:right w:val="nil"/>
            </w:tcBorders>
            <w:shd w:val="clear" w:color="000000" w:fill="FFFFFF"/>
            <w:noWrap/>
            <w:vAlign w:val="bottom"/>
            <w:hideMark/>
          </w:tcPr>
          <w:p w14:paraId="075C8420"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1,258</w:t>
            </w:r>
          </w:p>
        </w:tc>
        <w:tc>
          <w:tcPr>
            <w:tcW w:w="880" w:type="dxa"/>
            <w:tcBorders>
              <w:top w:val="nil"/>
              <w:left w:val="nil"/>
              <w:bottom w:val="nil"/>
              <w:right w:val="nil"/>
            </w:tcBorders>
            <w:shd w:val="clear" w:color="000000" w:fill="FFFFFF"/>
            <w:noWrap/>
            <w:vAlign w:val="bottom"/>
            <w:hideMark/>
          </w:tcPr>
          <w:p w14:paraId="03457940"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1,168</w:t>
            </w:r>
          </w:p>
        </w:tc>
        <w:tc>
          <w:tcPr>
            <w:tcW w:w="900" w:type="dxa"/>
            <w:tcBorders>
              <w:top w:val="nil"/>
              <w:left w:val="nil"/>
              <w:bottom w:val="nil"/>
              <w:right w:val="nil"/>
            </w:tcBorders>
            <w:shd w:val="clear" w:color="000000" w:fill="FFFFFF"/>
            <w:noWrap/>
            <w:vAlign w:val="bottom"/>
            <w:hideMark/>
          </w:tcPr>
          <w:p w14:paraId="1B493384"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1,175</w:t>
            </w:r>
          </w:p>
        </w:tc>
        <w:tc>
          <w:tcPr>
            <w:tcW w:w="880" w:type="dxa"/>
            <w:tcBorders>
              <w:top w:val="nil"/>
              <w:left w:val="nil"/>
              <w:bottom w:val="nil"/>
              <w:right w:val="nil"/>
            </w:tcBorders>
            <w:shd w:val="clear" w:color="000000" w:fill="FFFFFF"/>
            <w:noWrap/>
            <w:vAlign w:val="bottom"/>
            <w:hideMark/>
          </w:tcPr>
          <w:p w14:paraId="624A0953"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1,195</w:t>
            </w:r>
          </w:p>
        </w:tc>
        <w:tc>
          <w:tcPr>
            <w:tcW w:w="920" w:type="dxa"/>
            <w:tcBorders>
              <w:top w:val="nil"/>
              <w:left w:val="nil"/>
              <w:bottom w:val="nil"/>
              <w:right w:val="nil"/>
            </w:tcBorders>
            <w:shd w:val="clear" w:color="000000" w:fill="FFFFFF"/>
            <w:noWrap/>
            <w:vAlign w:val="bottom"/>
            <w:hideMark/>
          </w:tcPr>
          <w:p w14:paraId="4D5492BD"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1,129</w:t>
            </w:r>
          </w:p>
        </w:tc>
        <w:tc>
          <w:tcPr>
            <w:tcW w:w="880" w:type="dxa"/>
            <w:tcBorders>
              <w:top w:val="nil"/>
              <w:left w:val="nil"/>
              <w:bottom w:val="nil"/>
              <w:right w:val="nil"/>
            </w:tcBorders>
            <w:shd w:val="clear" w:color="000000" w:fill="FFFFFF"/>
            <w:noWrap/>
            <w:vAlign w:val="bottom"/>
            <w:hideMark/>
          </w:tcPr>
          <w:p w14:paraId="408E317B"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872</w:t>
            </w:r>
          </w:p>
        </w:tc>
        <w:tc>
          <w:tcPr>
            <w:tcW w:w="880" w:type="dxa"/>
            <w:tcBorders>
              <w:top w:val="nil"/>
              <w:left w:val="nil"/>
              <w:bottom w:val="nil"/>
              <w:right w:val="nil"/>
            </w:tcBorders>
            <w:shd w:val="clear" w:color="000000" w:fill="FFFFFF"/>
            <w:noWrap/>
            <w:vAlign w:val="bottom"/>
            <w:hideMark/>
          </w:tcPr>
          <w:p w14:paraId="2A0D06D7"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882</w:t>
            </w:r>
          </w:p>
        </w:tc>
        <w:tc>
          <w:tcPr>
            <w:tcW w:w="920" w:type="dxa"/>
            <w:tcBorders>
              <w:top w:val="nil"/>
              <w:left w:val="nil"/>
              <w:bottom w:val="nil"/>
              <w:right w:val="nil"/>
            </w:tcBorders>
            <w:shd w:val="clear" w:color="000000" w:fill="FFFFFF"/>
            <w:noWrap/>
            <w:vAlign w:val="bottom"/>
            <w:hideMark/>
          </w:tcPr>
          <w:p w14:paraId="50CC20B3"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909</w:t>
            </w:r>
          </w:p>
        </w:tc>
        <w:tc>
          <w:tcPr>
            <w:tcW w:w="880" w:type="dxa"/>
            <w:tcBorders>
              <w:top w:val="nil"/>
              <w:left w:val="nil"/>
              <w:bottom w:val="nil"/>
              <w:right w:val="nil"/>
            </w:tcBorders>
            <w:shd w:val="clear" w:color="000000" w:fill="FFFFFF"/>
            <w:noWrap/>
            <w:vAlign w:val="bottom"/>
            <w:hideMark/>
          </w:tcPr>
          <w:p w14:paraId="420F4E84"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1,946</w:t>
            </w:r>
          </w:p>
        </w:tc>
        <w:tc>
          <w:tcPr>
            <w:tcW w:w="1257" w:type="dxa"/>
            <w:tcBorders>
              <w:top w:val="nil"/>
              <w:left w:val="nil"/>
              <w:bottom w:val="nil"/>
              <w:right w:val="single" w:sz="4" w:space="0" w:color="auto"/>
            </w:tcBorders>
            <w:shd w:val="clear" w:color="000000" w:fill="FFFFFF"/>
            <w:noWrap/>
            <w:vAlign w:val="bottom"/>
            <w:hideMark/>
          </w:tcPr>
          <w:p w14:paraId="6043EF79"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1,180</w:t>
            </w:r>
          </w:p>
        </w:tc>
      </w:tr>
      <w:tr w:rsidR="00432C73" w:rsidRPr="00432C73" w14:paraId="65CD7116" w14:textId="77777777" w:rsidTr="005206E0">
        <w:trPr>
          <w:trHeight w:val="225"/>
        </w:trPr>
        <w:tc>
          <w:tcPr>
            <w:tcW w:w="1260" w:type="dxa"/>
            <w:tcBorders>
              <w:top w:val="nil"/>
              <w:left w:val="single" w:sz="4" w:space="0" w:color="auto"/>
              <w:bottom w:val="nil"/>
              <w:right w:val="nil"/>
            </w:tcBorders>
            <w:shd w:val="clear" w:color="000000" w:fill="FFFFFF"/>
            <w:noWrap/>
            <w:vAlign w:val="bottom"/>
            <w:hideMark/>
          </w:tcPr>
          <w:p w14:paraId="20101066" w14:textId="77777777" w:rsidR="00432C73" w:rsidRPr="00432C73" w:rsidRDefault="00432C73" w:rsidP="00432C73">
            <w:pPr>
              <w:spacing w:after="0" w:line="240" w:lineRule="auto"/>
              <w:rPr>
                <w:b/>
                <w:bCs/>
                <w:color w:val="000000"/>
                <w:sz w:val="16"/>
                <w:szCs w:val="16"/>
                <w:lang w:eastAsia="en-GB"/>
              </w:rPr>
            </w:pPr>
            <w:r w:rsidRPr="00432C73">
              <w:rPr>
                <w:b/>
                <w:bCs/>
                <w:color w:val="000000"/>
                <w:sz w:val="16"/>
                <w:szCs w:val="16"/>
                <w:lang w:eastAsia="en-GB"/>
              </w:rPr>
              <w:t> </w:t>
            </w:r>
          </w:p>
        </w:tc>
        <w:tc>
          <w:tcPr>
            <w:tcW w:w="1380" w:type="dxa"/>
            <w:tcBorders>
              <w:top w:val="nil"/>
              <w:left w:val="nil"/>
              <w:bottom w:val="nil"/>
              <w:right w:val="nil"/>
            </w:tcBorders>
            <w:shd w:val="clear" w:color="000000" w:fill="FFFFFF"/>
            <w:noWrap/>
            <w:vAlign w:val="bottom"/>
            <w:hideMark/>
          </w:tcPr>
          <w:p w14:paraId="2351E40F" w14:textId="77777777" w:rsidR="00432C73" w:rsidRPr="00432C73" w:rsidRDefault="00432C73" w:rsidP="00432C73">
            <w:pPr>
              <w:spacing w:after="0" w:line="240" w:lineRule="auto"/>
              <w:rPr>
                <w:sz w:val="16"/>
                <w:szCs w:val="16"/>
                <w:lang w:eastAsia="en-GB"/>
              </w:rPr>
            </w:pPr>
            <w:r w:rsidRPr="00432C73">
              <w:rPr>
                <w:sz w:val="16"/>
                <w:szCs w:val="16"/>
                <w:lang w:eastAsia="en-GB"/>
              </w:rPr>
              <w:t>Invoices</w:t>
            </w:r>
          </w:p>
        </w:tc>
        <w:tc>
          <w:tcPr>
            <w:tcW w:w="960" w:type="dxa"/>
            <w:tcBorders>
              <w:top w:val="nil"/>
              <w:left w:val="nil"/>
              <w:bottom w:val="nil"/>
              <w:right w:val="nil"/>
            </w:tcBorders>
            <w:shd w:val="clear" w:color="000000" w:fill="FFFFFF"/>
            <w:noWrap/>
            <w:vAlign w:val="bottom"/>
            <w:hideMark/>
          </w:tcPr>
          <w:p w14:paraId="17A6E679"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5</w:t>
            </w:r>
          </w:p>
        </w:tc>
        <w:tc>
          <w:tcPr>
            <w:tcW w:w="920" w:type="dxa"/>
            <w:tcBorders>
              <w:top w:val="nil"/>
              <w:left w:val="nil"/>
              <w:bottom w:val="nil"/>
              <w:right w:val="nil"/>
            </w:tcBorders>
            <w:shd w:val="clear" w:color="000000" w:fill="FFFFFF"/>
            <w:noWrap/>
            <w:vAlign w:val="bottom"/>
            <w:hideMark/>
          </w:tcPr>
          <w:p w14:paraId="78E46D52"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8</w:t>
            </w:r>
          </w:p>
        </w:tc>
        <w:tc>
          <w:tcPr>
            <w:tcW w:w="900" w:type="dxa"/>
            <w:tcBorders>
              <w:top w:val="nil"/>
              <w:left w:val="nil"/>
              <w:bottom w:val="nil"/>
              <w:right w:val="nil"/>
            </w:tcBorders>
            <w:shd w:val="clear" w:color="000000" w:fill="FFFFFF"/>
            <w:noWrap/>
            <w:vAlign w:val="bottom"/>
            <w:hideMark/>
          </w:tcPr>
          <w:p w14:paraId="6E42D9EC"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66</w:t>
            </w:r>
          </w:p>
        </w:tc>
        <w:tc>
          <w:tcPr>
            <w:tcW w:w="920" w:type="dxa"/>
            <w:tcBorders>
              <w:top w:val="nil"/>
              <w:left w:val="nil"/>
              <w:bottom w:val="nil"/>
              <w:right w:val="nil"/>
            </w:tcBorders>
            <w:shd w:val="clear" w:color="000000" w:fill="FFFFFF"/>
            <w:noWrap/>
            <w:vAlign w:val="bottom"/>
            <w:hideMark/>
          </w:tcPr>
          <w:p w14:paraId="15AF2BBF"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10</w:t>
            </w:r>
          </w:p>
        </w:tc>
        <w:tc>
          <w:tcPr>
            <w:tcW w:w="880" w:type="dxa"/>
            <w:tcBorders>
              <w:top w:val="nil"/>
              <w:left w:val="nil"/>
              <w:bottom w:val="nil"/>
              <w:right w:val="nil"/>
            </w:tcBorders>
            <w:shd w:val="clear" w:color="000000" w:fill="FFFFFF"/>
            <w:noWrap/>
            <w:vAlign w:val="bottom"/>
            <w:hideMark/>
          </w:tcPr>
          <w:p w14:paraId="7C2DFF59"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8</w:t>
            </w:r>
          </w:p>
        </w:tc>
        <w:tc>
          <w:tcPr>
            <w:tcW w:w="900" w:type="dxa"/>
            <w:tcBorders>
              <w:top w:val="nil"/>
              <w:left w:val="nil"/>
              <w:bottom w:val="nil"/>
              <w:right w:val="nil"/>
            </w:tcBorders>
            <w:shd w:val="clear" w:color="000000" w:fill="FFFFFF"/>
            <w:noWrap/>
            <w:vAlign w:val="bottom"/>
            <w:hideMark/>
          </w:tcPr>
          <w:p w14:paraId="0BA9E5AF"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19</w:t>
            </w:r>
          </w:p>
        </w:tc>
        <w:tc>
          <w:tcPr>
            <w:tcW w:w="880" w:type="dxa"/>
            <w:tcBorders>
              <w:top w:val="nil"/>
              <w:left w:val="nil"/>
              <w:bottom w:val="nil"/>
              <w:right w:val="nil"/>
            </w:tcBorders>
            <w:shd w:val="clear" w:color="000000" w:fill="FFFFFF"/>
            <w:noWrap/>
            <w:vAlign w:val="bottom"/>
            <w:hideMark/>
          </w:tcPr>
          <w:p w14:paraId="0FDD10DE"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7</w:t>
            </w:r>
          </w:p>
        </w:tc>
        <w:tc>
          <w:tcPr>
            <w:tcW w:w="920" w:type="dxa"/>
            <w:tcBorders>
              <w:top w:val="nil"/>
              <w:left w:val="nil"/>
              <w:bottom w:val="nil"/>
              <w:right w:val="nil"/>
            </w:tcBorders>
            <w:shd w:val="clear" w:color="000000" w:fill="FFFFFF"/>
            <w:noWrap/>
            <w:vAlign w:val="bottom"/>
            <w:hideMark/>
          </w:tcPr>
          <w:p w14:paraId="2EDCC128"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w:t>
            </w:r>
          </w:p>
        </w:tc>
        <w:tc>
          <w:tcPr>
            <w:tcW w:w="880" w:type="dxa"/>
            <w:tcBorders>
              <w:top w:val="nil"/>
              <w:left w:val="nil"/>
              <w:bottom w:val="nil"/>
              <w:right w:val="nil"/>
            </w:tcBorders>
            <w:shd w:val="clear" w:color="000000" w:fill="FFFFFF"/>
            <w:noWrap/>
            <w:vAlign w:val="bottom"/>
            <w:hideMark/>
          </w:tcPr>
          <w:p w14:paraId="65EAF152"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10</w:t>
            </w:r>
          </w:p>
        </w:tc>
        <w:tc>
          <w:tcPr>
            <w:tcW w:w="880" w:type="dxa"/>
            <w:tcBorders>
              <w:top w:val="nil"/>
              <w:left w:val="nil"/>
              <w:bottom w:val="nil"/>
              <w:right w:val="nil"/>
            </w:tcBorders>
            <w:shd w:val="clear" w:color="000000" w:fill="FFFFFF"/>
            <w:noWrap/>
            <w:vAlign w:val="bottom"/>
            <w:hideMark/>
          </w:tcPr>
          <w:p w14:paraId="0138D62C"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28</w:t>
            </w:r>
          </w:p>
        </w:tc>
        <w:tc>
          <w:tcPr>
            <w:tcW w:w="920" w:type="dxa"/>
            <w:tcBorders>
              <w:top w:val="nil"/>
              <w:left w:val="nil"/>
              <w:bottom w:val="nil"/>
              <w:right w:val="nil"/>
            </w:tcBorders>
            <w:shd w:val="clear" w:color="000000" w:fill="FFFFFF"/>
            <w:noWrap/>
            <w:vAlign w:val="bottom"/>
            <w:hideMark/>
          </w:tcPr>
          <w:p w14:paraId="7C7D015D"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1,004</w:t>
            </w:r>
          </w:p>
        </w:tc>
        <w:tc>
          <w:tcPr>
            <w:tcW w:w="880" w:type="dxa"/>
            <w:tcBorders>
              <w:top w:val="nil"/>
              <w:left w:val="nil"/>
              <w:bottom w:val="nil"/>
              <w:right w:val="nil"/>
            </w:tcBorders>
            <w:shd w:val="clear" w:color="000000" w:fill="FFFFFF"/>
            <w:noWrap/>
            <w:vAlign w:val="bottom"/>
            <w:hideMark/>
          </w:tcPr>
          <w:p w14:paraId="62AA5381"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85</w:t>
            </w:r>
          </w:p>
        </w:tc>
        <w:tc>
          <w:tcPr>
            <w:tcW w:w="1257" w:type="dxa"/>
            <w:tcBorders>
              <w:top w:val="nil"/>
              <w:left w:val="nil"/>
              <w:bottom w:val="nil"/>
              <w:right w:val="single" w:sz="4" w:space="0" w:color="auto"/>
            </w:tcBorders>
            <w:shd w:val="clear" w:color="000000" w:fill="FFFFFF"/>
            <w:noWrap/>
            <w:vAlign w:val="bottom"/>
            <w:hideMark/>
          </w:tcPr>
          <w:p w14:paraId="3B5277DF"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1,251</w:t>
            </w:r>
          </w:p>
        </w:tc>
      </w:tr>
      <w:tr w:rsidR="00432C73" w:rsidRPr="00432C73" w14:paraId="3F194387" w14:textId="77777777" w:rsidTr="005206E0">
        <w:trPr>
          <w:trHeight w:val="225"/>
        </w:trPr>
        <w:tc>
          <w:tcPr>
            <w:tcW w:w="1260" w:type="dxa"/>
            <w:tcBorders>
              <w:top w:val="nil"/>
              <w:left w:val="single" w:sz="4" w:space="0" w:color="auto"/>
              <w:bottom w:val="nil"/>
              <w:right w:val="nil"/>
            </w:tcBorders>
            <w:shd w:val="clear" w:color="000000" w:fill="FFFFFF"/>
            <w:noWrap/>
            <w:vAlign w:val="bottom"/>
            <w:hideMark/>
          </w:tcPr>
          <w:p w14:paraId="15785959" w14:textId="77777777" w:rsidR="00432C73" w:rsidRPr="00432C73" w:rsidRDefault="00432C73" w:rsidP="00432C73">
            <w:pPr>
              <w:spacing w:after="0" w:line="240" w:lineRule="auto"/>
              <w:rPr>
                <w:b/>
                <w:bCs/>
                <w:color w:val="000000"/>
                <w:sz w:val="16"/>
                <w:szCs w:val="16"/>
                <w:lang w:eastAsia="en-GB"/>
              </w:rPr>
            </w:pPr>
            <w:r w:rsidRPr="00432C73">
              <w:rPr>
                <w:b/>
                <w:bCs/>
                <w:color w:val="000000"/>
                <w:sz w:val="16"/>
                <w:szCs w:val="16"/>
                <w:lang w:eastAsia="en-GB"/>
              </w:rPr>
              <w:t> </w:t>
            </w:r>
          </w:p>
        </w:tc>
        <w:tc>
          <w:tcPr>
            <w:tcW w:w="1380" w:type="dxa"/>
            <w:tcBorders>
              <w:top w:val="nil"/>
              <w:left w:val="nil"/>
              <w:bottom w:val="nil"/>
              <w:right w:val="nil"/>
            </w:tcBorders>
            <w:shd w:val="clear" w:color="000000" w:fill="FFFFFF"/>
            <w:noWrap/>
            <w:vAlign w:val="bottom"/>
            <w:hideMark/>
          </w:tcPr>
          <w:p w14:paraId="45086494" w14:textId="77777777" w:rsidR="00432C73" w:rsidRPr="00432C73" w:rsidRDefault="00432C73" w:rsidP="00432C73">
            <w:pPr>
              <w:spacing w:after="0" w:line="240" w:lineRule="auto"/>
              <w:rPr>
                <w:sz w:val="16"/>
                <w:szCs w:val="16"/>
                <w:lang w:eastAsia="en-GB"/>
              </w:rPr>
            </w:pPr>
            <w:r w:rsidRPr="00432C73">
              <w:rPr>
                <w:sz w:val="16"/>
                <w:szCs w:val="16"/>
                <w:lang w:eastAsia="en-GB"/>
              </w:rPr>
              <w:t>Payments</w:t>
            </w:r>
          </w:p>
        </w:tc>
        <w:tc>
          <w:tcPr>
            <w:tcW w:w="960" w:type="dxa"/>
            <w:tcBorders>
              <w:top w:val="nil"/>
              <w:left w:val="nil"/>
              <w:bottom w:val="nil"/>
              <w:right w:val="nil"/>
            </w:tcBorders>
            <w:shd w:val="clear" w:color="000000" w:fill="FFFFFF"/>
            <w:noWrap/>
            <w:vAlign w:val="bottom"/>
            <w:hideMark/>
          </w:tcPr>
          <w:p w14:paraId="6E0752E9"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0</w:t>
            </w:r>
          </w:p>
        </w:tc>
        <w:tc>
          <w:tcPr>
            <w:tcW w:w="920" w:type="dxa"/>
            <w:tcBorders>
              <w:top w:val="nil"/>
              <w:left w:val="nil"/>
              <w:bottom w:val="nil"/>
              <w:right w:val="nil"/>
            </w:tcBorders>
            <w:shd w:val="clear" w:color="000000" w:fill="FFFFFF"/>
            <w:noWrap/>
            <w:vAlign w:val="bottom"/>
            <w:hideMark/>
          </w:tcPr>
          <w:p w14:paraId="2A04A9FC"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0</w:t>
            </w:r>
          </w:p>
        </w:tc>
        <w:tc>
          <w:tcPr>
            <w:tcW w:w="900" w:type="dxa"/>
            <w:tcBorders>
              <w:top w:val="nil"/>
              <w:left w:val="nil"/>
              <w:bottom w:val="nil"/>
              <w:right w:val="nil"/>
            </w:tcBorders>
            <w:shd w:val="clear" w:color="000000" w:fill="FFFFFF"/>
            <w:noWrap/>
            <w:vAlign w:val="bottom"/>
            <w:hideMark/>
          </w:tcPr>
          <w:p w14:paraId="0FF9ED69"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0</w:t>
            </w:r>
          </w:p>
        </w:tc>
        <w:tc>
          <w:tcPr>
            <w:tcW w:w="920" w:type="dxa"/>
            <w:tcBorders>
              <w:top w:val="nil"/>
              <w:left w:val="nil"/>
              <w:bottom w:val="nil"/>
              <w:right w:val="nil"/>
            </w:tcBorders>
            <w:shd w:val="clear" w:color="000000" w:fill="FFFFFF"/>
            <w:noWrap/>
            <w:vAlign w:val="bottom"/>
            <w:hideMark/>
          </w:tcPr>
          <w:p w14:paraId="021585DA"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(100)</w:t>
            </w:r>
          </w:p>
        </w:tc>
        <w:tc>
          <w:tcPr>
            <w:tcW w:w="880" w:type="dxa"/>
            <w:tcBorders>
              <w:top w:val="nil"/>
              <w:left w:val="nil"/>
              <w:bottom w:val="nil"/>
              <w:right w:val="nil"/>
            </w:tcBorders>
            <w:shd w:val="clear" w:color="000000" w:fill="FFFFFF"/>
            <w:noWrap/>
            <w:vAlign w:val="bottom"/>
            <w:hideMark/>
          </w:tcPr>
          <w:p w14:paraId="0EBCB239"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(101)</w:t>
            </w:r>
          </w:p>
        </w:tc>
        <w:tc>
          <w:tcPr>
            <w:tcW w:w="900" w:type="dxa"/>
            <w:tcBorders>
              <w:top w:val="nil"/>
              <w:left w:val="nil"/>
              <w:bottom w:val="nil"/>
              <w:right w:val="nil"/>
            </w:tcBorders>
            <w:shd w:val="clear" w:color="000000" w:fill="FFFFFF"/>
            <w:noWrap/>
            <w:vAlign w:val="bottom"/>
            <w:hideMark/>
          </w:tcPr>
          <w:p w14:paraId="780DE6C2"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0</w:t>
            </w:r>
          </w:p>
        </w:tc>
        <w:tc>
          <w:tcPr>
            <w:tcW w:w="880" w:type="dxa"/>
            <w:tcBorders>
              <w:top w:val="nil"/>
              <w:left w:val="nil"/>
              <w:bottom w:val="nil"/>
              <w:right w:val="nil"/>
            </w:tcBorders>
            <w:shd w:val="clear" w:color="000000" w:fill="FFFFFF"/>
            <w:noWrap/>
            <w:vAlign w:val="bottom"/>
            <w:hideMark/>
          </w:tcPr>
          <w:p w14:paraId="485A9E35"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(72)</w:t>
            </w:r>
          </w:p>
        </w:tc>
        <w:tc>
          <w:tcPr>
            <w:tcW w:w="920" w:type="dxa"/>
            <w:tcBorders>
              <w:top w:val="nil"/>
              <w:left w:val="nil"/>
              <w:bottom w:val="nil"/>
              <w:right w:val="nil"/>
            </w:tcBorders>
            <w:shd w:val="clear" w:color="000000" w:fill="FFFFFF"/>
            <w:noWrap/>
            <w:vAlign w:val="bottom"/>
            <w:hideMark/>
          </w:tcPr>
          <w:p w14:paraId="5774294D"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(260)</w:t>
            </w:r>
          </w:p>
        </w:tc>
        <w:tc>
          <w:tcPr>
            <w:tcW w:w="880" w:type="dxa"/>
            <w:tcBorders>
              <w:top w:val="nil"/>
              <w:left w:val="nil"/>
              <w:bottom w:val="nil"/>
              <w:right w:val="nil"/>
            </w:tcBorders>
            <w:shd w:val="clear" w:color="000000" w:fill="FFFFFF"/>
            <w:noWrap/>
            <w:vAlign w:val="bottom"/>
            <w:hideMark/>
          </w:tcPr>
          <w:p w14:paraId="1E6144D8"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0</w:t>
            </w:r>
          </w:p>
        </w:tc>
        <w:tc>
          <w:tcPr>
            <w:tcW w:w="880" w:type="dxa"/>
            <w:tcBorders>
              <w:top w:val="nil"/>
              <w:left w:val="nil"/>
              <w:bottom w:val="nil"/>
              <w:right w:val="nil"/>
            </w:tcBorders>
            <w:shd w:val="clear" w:color="000000" w:fill="FFFFFF"/>
            <w:noWrap/>
            <w:vAlign w:val="bottom"/>
            <w:hideMark/>
          </w:tcPr>
          <w:p w14:paraId="149ACC17"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w:t>
            </w:r>
          </w:p>
        </w:tc>
        <w:tc>
          <w:tcPr>
            <w:tcW w:w="920" w:type="dxa"/>
            <w:tcBorders>
              <w:top w:val="nil"/>
              <w:left w:val="nil"/>
              <w:bottom w:val="nil"/>
              <w:right w:val="nil"/>
            </w:tcBorders>
            <w:shd w:val="clear" w:color="000000" w:fill="FFFFFF"/>
            <w:noWrap/>
            <w:vAlign w:val="bottom"/>
            <w:hideMark/>
          </w:tcPr>
          <w:p w14:paraId="11945BFC"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0</w:t>
            </w:r>
          </w:p>
        </w:tc>
        <w:tc>
          <w:tcPr>
            <w:tcW w:w="880" w:type="dxa"/>
            <w:tcBorders>
              <w:top w:val="nil"/>
              <w:left w:val="nil"/>
              <w:bottom w:val="nil"/>
              <w:right w:val="nil"/>
            </w:tcBorders>
            <w:shd w:val="clear" w:color="000000" w:fill="FFFFFF"/>
            <w:noWrap/>
            <w:vAlign w:val="bottom"/>
            <w:hideMark/>
          </w:tcPr>
          <w:p w14:paraId="03998CEC"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(431)</w:t>
            </w:r>
          </w:p>
        </w:tc>
        <w:tc>
          <w:tcPr>
            <w:tcW w:w="1257" w:type="dxa"/>
            <w:tcBorders>
              <w:top w:val="nil"/>
              <w:left w:val="nil"/>
              <w:bottom w:val="nil"/>
              <w:right w:val="single" w:sz="4" w:space="0" w:color="auto"/>
            </w:tcBorders>
            <w:shd w:val="clear" w:color="000000" w:fill="FFFFFF"/>
            <w:noWrap/>
            <w:vAlign w:val="bottom"/>
            <w:hideMark/>
          </w:tcPr>
          <w:p w14:paraId="34BFD9F4"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(965)</w:t>
            </w:r>
          </w:p>
        </w:tc>
      </w:tr>
      <w:tr w:rsidR="00432C73" w:rsidRPr="00432C73" w14:paraId="145A326E" w14:textId="77777777" w:rsidTr="005206E0">
        <w:trPr>
          <w:trHeight w:val="225"/>
        </w:trPr>
        <w:tc>
          <w:tcPr>
            <w:tcW w:w="1260" w:type="dxa"/>
            <w:tcBorders>
              <w:top w:val="nil"/>
              <w:left w:val="single" w:sz="4" w:space="0" w:color="auto"/>
              <w:bottom w:val="single" w:sz="4" w:space="0" w:color="auto"/>
              <w:right w:val="nil"/>
            </w:tcBorders>
            <w:shd w:val="clear" w:color="000000" w:fill="FFFFFF"/>
            <w:noWrap/>
            <w:vAlign w:val="bottom"/>
            <w:hideMark/>
          </w:tcPr>
          <w:p w14:paraId="47405C5F" w14:textId="77777777" w:rsidR="00432C73" w:rsidRPr="00432C73" w:rsidRDefault="00432C73" w:rsidP="00432C73">
            <w:pPr>
              <w:spacing w:after="0" w:line="240" w:lineRule="auto"/>
              <w:rPr>
                <w:b/>
                <w:bCs/>
                <w:color w:val="000000"/>
                <w:sz w:val="16"/>
                <w:szCs w:val="16"/>
                <w:lang w:eastAsia="en-GB"/>
              </w:rPr>
            </w:pPr>
            <w:r w:rsidRPr="00432C73">
              <w:rPr>
                <w:b/>
                <w:bCs/>
                <w:color w:val="000000"/>
                <w:sz w:val="16"/>
                <w:szCs w:val="16"/>
                <w:lang w:eastAsia="en-GB"/>
              </w:rPr>
              <w:t> </w:t>
            </w:r>
          </w:p>
        </w:tc>
        <w:tc>
          <w:tcPr>
            <w:tcW w:w="1380" w:type="dxa"/>
            <w:tcBorders>
              <w:top w:val="nil"/>
              <w:left w:val="nil"/>
              <w:bottom w:val="single" w:sz="4" w:space="0" w:color="auto"/>
              <w:right w:val="nil"/>
            </w:tcBorders>
            <w:shd w:val="clear" w:color="000000" w:fill="FFFFFF"/>
            <w:noWrap/>
            <w:vAlign w:val="bottom"/>
            <w:hideMark/>
          </w:tcPr>
          <w:p w14:paraId="0B24898C" w14:textId="77777777" w:rsidR="00432C73" w:rsidRPr="00432C73" w:rsidRDefault="00432C73" w:rsidP="00432C73">
            <w:pPr>
              <w:spacing w:after="0" w:line="240" w:lineRule="auto"/>
              <w:rPr>
                <w:sz w:val="16"/>
                <w:szCs w:val="16"/>
                <w:lang w:eastAsia="en-GB"/>
              </w:rPr>
            </w:pPr>
            <w:r w:rsidRPr="00432C73">
              <w:rPr>
                <w:sz w:val="16"/>
                <w:szCs w:val="16"/>
                <w:lang w:eastAsia="en-GB"/>
              </w:rPr>
              <w:t>Closing Debtors</w:t>
            </w:r>
          </w:p>
        </w:tc>
        <w:tc>
          <w:tcPr>
            <w:tcW w:w="960" w:type="dxa"/>
            <w:tcBorders>
              <w:top w:val="nil"/>
              <w:left w:val="nil"/>
              <w:bottom w:val="single" w:sz="4" w:space="0" w:color="auto"/>
              <w:right w:val="nil"/>
            </w:tcBorders>
            <w:shd w:val="clear" w:color="000000" w:fill="FFFFFF"/>
            <w:noWrap/>
            <w:vAlign w:val="bottom"/>
            <w:hideMark/>
          </w:tcPr>
          <w:p w14:paraId="13BD7BF4"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1,184</w:t>
            </w:r>
          </w:p>
        </w:tc>
        <w:tc>
          <w:tcPr>
            <w:tcW w:w="920" w:type="dxa"/>
            <w:tcBorders>
              <w:top w:val="nil"/>
              <w:left w:val="nil"/>
              <w:bottom w:val="single" w:sz="4" w:space="0" w:color="auto"/>
              <w:right w:val="nil"/>
            </w:tcBorders>
            <w:shd w:val="clear" w:color="000000" w:fill="FFFFFF"/>
            <w:noWrap/>
            <w:vAlign w:val="bottom"/>
            <w:hideMark/>
          </w:tcPr>
          <w:p w14:paraId="67490D0A"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1,192</w:t>
            </w:r>
          </w:p>
        </w:tc>
        <w:tc>
          <w:tcPr>
            <w:tcW w:w="900" w:type="dxa"/>
            <w:tcBorders>
              <w:top w:val="nil"/>
              <w:left w:val="nil"/>
              <w:bottom w:val="single" w:sz="4" w:space="0" w:color="auto"/>
              <w:right w:val="nil"/>
            </w:tcBorders>
            <w:shd w:val="clear" w:color="000000" w:fill="FFFFFF"/>
            <w:noWrap/>
            <w:vAlign w:val="bottom"/>
            <w:hideMark/>
          </w:tcPr>
          <w:p w14:paraId="78862AD2"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1,258</w:t>
            </w:r>
          </w:p>
        </w:tc>
        <w:tc>
          <w:tcPr>
            <w:tcW w:w="920" w:type="dxa"/>
            <w:tcBorders>
              <w:top w:val="nil"/>
              <w:left w:val="nil"/>
              <w:bottom w:val="single" w:sz="4" w:space="0" w:color="auto"/>
              <w:right w:val="nil"/>
            </w:tcBorders>
            <w:shd w:val="clear" w:color="000000" w:fill="FFFFFF"/>
            <w:noWrap/>
            <w:vAlign w:val="bottom"/>
            <w:hideMark/>
          </w:tcPr>
          <w:p w14:paraId="4E25B399"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1,168</w:t>
            </w:r>
          </w:p>
        </w:tc>
        <w:tc>
          <w:tcPr>
            <w:tcW w:w="880" w:type="dxa"/>
            <w:tcBorders>
              <w:top w:val="nil"/>
              <w:left w:val="nil"/>
              <w:bottom w:val="single" w:sz="4" w:space="0" w:color="auto"/>
              <w:right w:val="nil"/>
            </w:tcBorders>
            <w:shd w:val="clear" w:color="000000" w:fill="FFFFFF"/>
            <w:noWrap/>
            <w:vAlign w:val="bottom"/>
            <w:hideMark/>
          </w:tcPr>
          <w:p w14:paraId="1767D16C"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1,175</w:t>
            </w:r>
          </w:p>
        </w:tc>
        <w:tc>
          <w:tcPr>
            <w:tcW w:w="900" w:type="dxa"/>
            <w:tcBorders>
              <w:top w:val="nil"/>
              <w:left w:val="nil"/>
              <w:bottom w:val="single" w:sz="4" w:space="0" w:color="auto"/>
              <w:right w:val="nil"/>
            </w:tcBorders>
            <w:shd w:val="clear" w:color="000000" w:fill="FFFFFF"/>
            <w:noWrap/>
            <w:vAlign w:val="bottom"/>
            <w:hideMark/>
          </w:tcPr>
          <w:p w14:paraId="04D9D1BD"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1,195</w:t>
            </w:r>
          </w:p>
        </w:tc>
        <w:tc>
          <w:tcPr>
            <w:tcW w:w="880" w:type="dxa"/>
            <w:tcBorders>
              <w:top w:val="nil"/>
              <w:left w:val="nil"/>
              <w:bottom w:val="single" w:sz="4" w:space="0" w:color="auto"/>
              <w:right w:val="nil"/>
            </w:tcBorders>
            <w:shd w:val="clear" w:color="000000" w:fill="FFFFFF"/>
            <w:noWrap/>
            <w:vAlign w:val="bottom"/>
            <w:hideMark/>
          </w:tcPr>
          <w:p w14:paraId="334FE74C"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1,129</w:t>
            </w:r>
          </w:p>
        </w:tc>
        <w:tc>
          <w:tcPr>
            <w:tcW w:w="920" w:type="dxa"/>
            <w:tcBorders>
              <w:top w:val="nil"/>
              <w:left w:val="nil"/>
              <w:bottom w:val="single" w:sz="4" w:space="0" w:color="auto"/>
              <w:right w:val="nil"/>
            </w:tcBorders>
            <w:shd w:val="clear" w:color="000000" w:fill="FFFFFF"/>
            <w:noWrap/>
            <w:vAlign w:val="bottom"/>
            <w:hideMark/>
          </w:tcPr>
          <w:p w14:paraId="1B692BD3"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872</w:t>
            </w:r>
          </w:p>
        </w:tc>
        <w:tc>
          <w:tcPr>
            <w:tcW w:w="880" w:type="dxa"/>
            <w:tcBorders>
              <w:top w:val="nil"/>
              <w:left w:val="nil"/>
              <w:bottom w:val="single" w:sz="4" w:space="0" w:color="auto"/>
              <w:right w:val="nil"/>
            </w:tcBorders>
            <w:shd w:val="clear" w:color="000000" w:fill="FFFFFF"/>
            <w:noWrap/>
            <w:vAlign w:val="bottom"/>
            <w:hideMark/>
          </w:tcPr>
          <w:p w14:paraId="2CC2EFA2"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882</w:t>
            </w:r>
          </w:p>
        </w:tc>
        <w:tc>
          <w:tcPr>
            <w:tcW w:w="880" w:type="dxa"/>
            <w:tcBorders>
              <w:top w:val="nil"/>
              <w:left w:val="nil"/>
              <w:bottom w:val="single" w:sz="4" w:space="0" w:color="auto"/>
              <w:right w:val="nil"/>
            </w:tcBorders>
            <w:shd w:val="clear" w:color="000000" w:fill="FFFFFF"/>
            <w:noWrap/>
            <w:vAlign w:val="bottom"/>
            <w:hideMark/>
          </w:tcPr>
          <w:p w14:paraId="4D6FD33F"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909</w:t>
            </w:r>
          </w:p>
        </w:tc>
        <w:tc>
          <w:tcPr>
            <w:tcW w:w="920" w:type="dxa"/>
            <w:tcBorders>
              <w:top w:val="nil"/>
              <w:left w:val="nil"/>
              <w:bottom w:val="single" w:sz="4" w:space="0" w:color="auto"/>
              <w:right w:val="nil"/>
            </w:tcBorders>
            <w:shd w:val="clear" w:color="000000" w:fill="FFFFFF"/>
            <w:noWrap/>
            <w:vAlign w:val="bottom"/>
            <w:hideMark/>
          </w:tcPr>
          <w:p w14:paraId="5607F6F8"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1,946</w:t>
            </w:r>
          </w:p>
        </w:tc>
        <w:tc>
          <w:tcPr>
            <w:tcW w:w="880" w:type="dxa"/>
            <w:tcBorders>
              <w:top w:val="nil"/>
              <w:left w:val="nil"/>
              <w:bottom w:val="single" w:sz="4" w:space="0" w:color="auto"/>
              <w:right w:val="nil"/>
            </w:tcBorders>
            <w:shd w:val="clear" w:color="000000" w:fill="FFFFFF"/>
            <w:noWrap/>
            <w:vAlign w:val="bottom"/>
            <w:hideMark/>
          </w:tcPr>
          <w:p w14:paraId="0A9A7531"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1,600</w:t>
            </w:r>
          </w:p>
        </w:tc>
        <w:tc>
          <w:tcPr>
            <w:tcW w:w="1257" w:type="dxa"/>
            <w:tcBorders>
              <w:top w:val="nil"/>
              <w:left w:val="nil"/>
              <w:bottom w:val="single" w:sz="4" w:space="0" w:color="auto"/>
              <w:right w:val="single" w:sz="4" w:space="0" w:color="auto"/>
            </w:tcBorders>
            <w:shd w:val="clear" w:color="000000" w:fill="FFFFFF"/>
            <w:noWrap/>
            <w:vAlign w:val="bottom"/>
            <w:hideMark/>
          </w:tcPr>
          <w:p w14:paraId="628E9E42"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1,600</w:t>
            </w:r>
          </w:p>
        </w:tc>
      </w:tr>
      <w:tr w:rsidR="00432C73" w:rsidRPr="00432C73" w14:paraId="248A2E56" w14:textId="77777777" w:rsidTr="005206E0">
        <w:trPr>
          <w:trHeight w:val="225"/>
        </w:trPr>
        <w:tc>
          <w:tcPr>
            <w:tcW w:w="1260" w:type="dxa"/>
            <w:tcBorders>
              <w:top w:val="nil"/>
              <w:left w:val="single" w:sz="4" w:space="0" w:color="auto"/>
              <w:bottom w:val="nil"/>
              <w:right w:val="nil"/>
            </w:tcBorders>
            <w:shd w:val="clear" w:color="000000" w:fill="FFFFFF"/>
            <w:noWrap/>
            <w:vAlign w:val="bottom"/>
            <w:hideMark/>
          </w:tcPr>
          <w:p w14:paraId="634D6161" w14:textId="77777777" w:rsidR="00432C73" w:rsidRPr="00432C73" w:rsidRDefault="00432C73" w:rsidP="00432C73">
            <w:pPr>
              <w:spacing w:after="0" w:line="240" w:lineRule="auto"/>
              <w:rPr>
                <w:b/>
                <w:bCs/>
                <w:color w:val="000000"/>
                <w:sz w:val="16"/>
                <w:szCs w:val="16"/>
                <w:lang w:eastAsia="en-GB"/>
              </w:rPr>
            </w:pPr>
            <w:r w:rsidRPr="00432C73">
              <w:rPr>
                <w:b/>
                <w:bCs/>
                <w:color w:val="000000"/>
                <w:sz w:val="16"/>
                <w:szCs w:val="16"/>
                <w:lang w:eastAsia="en-GB"/>
              </w:rPr>
              <w:t>KHO</w:t>
            </w:r>
          </w:p>
        </w:tc>
        <w:tc>
          <w:tcPr>
            <w:tcW w:w="1380" w:type="dxa"/>
            <w:tcBorders>
              <w:top w:val="nil"/>
              <w:left w:val="nil"/>
              <w:bottom w:val="nil"/>
              <w:right w:val="nil"/>
            </w:tcBorders>
            <w:shd w:val="clear" w:color="000000" w:fill="FFFFFF"/>
            <w:noWrap/>
            <w:vAlign w:val="bottom"/>
            <w:hideMark/>
          </w:tcPr>
          <w:p w14:paraId="2A9DA1A7" w14:textId="77777777" w:rsidR="00432C73" w:rsidRPr="00432C73" w:rsidRDefault="00432C73" w:rsidP="00432C73">
            <w:pPr>
              <w:spacing w:after="0" w:line="240" w:lineRule="auto"/>
              <w:rPr>
                <w:sz w:val="16"/>
                <w:szCs w:val="16"/>
                <w:lang w:eastAsia="en-GB"/>
              </w:rPr>
            </w:pPr>
            <w:r w:rsidRPr="00432C73">
              <w:rPr>
                <w:sz w:val="16"/>
                <w:szCs w:val="16"/>
                <w:lang w:eastAsia="en-GB"/>
              </w:rPr>
              <w:t>Opening Debtors</w:t>
            </w:r>
          </w:p>
        </w:tc>
        <w:tc>
          <w:tcPr>
            <w:tcW w:w="960" w:type="dxa"/>
            <w:tcBorders>
              <w:top w:val="nil"/>
              <w:left w:val="nil"/>
              <w:bottom w:val="nil"/>
              <w:right w:val="nil"/>
            </w:tcBorders>
            <w:shd w:val="clear" w:color="000000" w:fill="FFFFFF"/>
            <w:noWrap/>
            <w:vAlign w:val="bottom"/>
            <w:hideMark/>
          </w:tcPr>
          <w:p w14:paraId="7C4F4E38"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6,057</w:t>
            </w:r>
          </w:p>
        </w:tc>
        <w:tc>
          <w:tcPr>
            <w:tcW w:w="920" w:type="dxa"/>
            <w:tcBorders>
              <w:top w:val="nil"/>
              <w:left w:val="nil"/>
              <w:bottom w:val="nil"/>
              <w:right w:val="nil"/>
            </w:tcBorders>
            <w:shd w:val="clear" w:color="000000" w:fill="FFFFFF"/>
            <w:noWrap/>
            <w:vAlign w:val="bottom"/>
            <w:hideMark/>
          </w:tcPr>
          <w:p w14:paraId="0978B049"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5,478</w:t>
            </w:r>
          </w:p>
        </w:tc>
        <w:tc>
          <w:tcPr>
            <w:tcW w:w="900" w:type="dxa"/>
            <w:tcBorders>
              <w:top w:val="nil"/>
              <w:left w:val="nil"/>
              <w:bottom w:val="nil"/>
              <w:right w:val="nil"/>
            </w:tcBorders>
            <w:shd w:val="clear" w:color="000000" w:fill="FFFFFF"/>
            <w:noWrap/>
            <w:vAlign w:val="bottom"/>
            <w:hideMark/>
          </w:tcPr>
          <w:p w14:paraId="760F9065"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6,289</w:t>
            </w:r>
          </w:p>
        </w:tc>
        <w:tc>
          <w:tcPr>
            <w:tcW w:w="920" w:type="dxa"/>
            <w:tcBorders>
              <w:top w:val="nil"/>
              <w:left w:val="nil"/>
              <w:bottom w:val="nil"/>
              <w:right w:val="nil"/>
            </w:tcBorders>
            <w:shd w:val="clear" w:color="000000" w:fill="FFFFFF"/>
            <w:noWrap/>
            <w:vAlign w:val="bottom"/>
            <w:hideMark/>
          </w:tcPr>
          <w:p w14:paraId="4E237584"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6,510</w:t>
            </w:r>
          </w:p>
        </w:tc>
        <w:tc>
          <w:tcPr>
            <w:tcW w:w="880" w:type="dxa"/>
            <w:tcBorders>
              <w:top w:val="nil"/>
              <w:left w:val="nil"/>
              <w:bottom w:val="nil"/>
              <w:right w:val="nil"/>
            </w:tcBorders>
            <w:shd w:val="clear" w:color="000000" w:fill="FFFFFF"/>
            <w:noWrap/>
            <w:vAlign w:val="bottom"/>
            <w:hideMark/>
          </w:tcPr>
          <w:p w14:paraId="4160287D"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6,784</w:t>
            </w:r>
          </w:p>
        </w:tc>
        <w:tc>
          <w:tcPr>
            <w:tcW w:w="900" w:type="dxa"/>
            <w:tcBorders>
              <w:top w:val="nil"/>
              <w:left w:val="nil"/>
              <w:bottom w:val="nil"/>
              <w:right w:val="nil"/>
            </w:tcBorders>
            <w:shd w:val="clear" w:color="000000" w:fill="FFFFFF"/>
            <w:noWrap/>
            <w:vAlign w:val="bottom"/>
            <w:hideMark/>
          </w:tcPr>
          <w:p w14:paraId="20FE0D97"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8,151</w:t>
            </w:r>
          </w:p>
        </w:tc>
        <w:tc>
          <w:tcPr>
            <w:tcW w:w="880" w:type="dxa"/>
            <w:tcBorders>
              <w:top w:val="nil"/>
              <w:left w:val="nil"/>
              <w:bottom w:val="nil"/>
              <w:right w:val="nil"/>
            </w:tcBorders>
            <w:shd w:val="clear" w:color="000000" w:fill="FFFFFF"/>
            <w:noWrap/>
            <w:vAlign w:val="bottom"/>
            <w:hideMark/>
          </w:tcPr>
          <w:p w14:paraId="4D5C2CF3"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9,304</w:t>
            </w:r>
          </w:p>
        </w:tc>
        <w:tc>
          <w:tcPr>
            <w:tcW w:w="920" w:type="dxa"/>
            <w:tcBorders>
              <w:top w:val="nil"/>
              <w:left w:val="nil"/>
              <w:bottom w:val="nil"/>
              <w:right w:val="nil"/>
            </w:tcBorders>
            <w:shd w:val="clear" w:color="000000" w:fill="FFFFFF"/>
            <w:noWrap/>
            <w:vAlign w:val="bottom"/>
            <w:hideMark/>
          </w:tcPr>
          <w:p w14:paraId="643550F9"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8,127</w:t>
            </w:r>
          </w:p>
        </w:tc>
        <w:tc>
          <w:tcPr>
            <w:tcW w:w="880" w:type="dxa"/>
            <w:tcBorders>
              <w:top w:val="nil"/>
              <w:left w:val="nil"/>
              <w:bottom w:val="nil"/>
              <w:right w:val="nil"/>
            </w:tcBorders>
            <w:shd w:val="clear" w:color="000000" w:fill="FFFFFF"/>
            <w:noWrap/>
            <w:vAlign w:val="bottom"/>
            <w:hideMark/>
          </w:tcPr>
          <w:p w14:paraId="6C705378"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7,937</w:t>
            </w:r>
          </w:p>
        </w:tc>
        <w:tc>
          <w:tcPr>
            <w:tcW w:w="880" w:type="dxa"/>
            <w:tcBorders>
              <w:top w:val="nil"/>
              <w:left w:val="nil"/>
              <w:bottom w:val="nil"/>
              <w:right w:val="nil"/>
            </w:tcBorders>
            <w:shd w:val="clear" w:color="000000" w:fill="FFFFFF"/>
            <w:noWrap/>
            <w:vAlign w:val="bottom"/>
            <w:hideMark/>
          </w:tcPr>
          <w:p w14:paraId="2C3F1BD4"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8,211</w:t>
            </w:r>
          </w:p>
        </w:tc>
        <w:tc>
          <w:tcPr>
            <w:tcW w:w="920" w:type="dxa"/>
            <w:tcBorders>
              <w:top w:val="nil"/>
              <w:left w:val="nil"/>
              <w:bottom w:val="nil"/>
              <w:right w:val="nil"/>
            </w:tcBorders>
            <w:shd w:val="clear" w:color="000000" w:fill="FFFFFF"/>
            <w:noWrap/>
            <w:vAlign w:val="bottom"/>
            <w:hideMark/>
          </w:tcPr>
          <w:p w14:paraId="0C1B69F6"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6,987</w:t>
            </w:r>
          </w:p>
        </w:tc>
        <w:tc>
          <w:tcPr>
            <w:tcW w:w="880" w:type="dxa"/>
            <w:tcBorders>
              <w:top w:val="nil"/>
              <w:left w:val="nil"/>
              <w:bottom w:val="nil"/>
              <w:right w:val="nil"/>
            </w:tcBorders>
            <w:shd w:val="clear" w:color="000000" w:fill="FFFFFF"/>
            <w:noWrap/>
            <w:vAlign w:val="bottom"/>
            <w:hideMark/>
          </w:tcPr>
          <w:p w14:paraId="12BCC2F5"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7,099</w:t>
            </w:r>
          </w:p>
        </w:tc>
        <w:tc>
          <w:tcPr>
            <w:tcW w:w="1257" w:type="dxa"/>
            <w:tcBorders>
              <w:top w:val="nil"/>
              <w:left w:val="nil"/>
              <w:bottom w:val="nil"/>
              <w:right w:val="single" w:sz="4" w:space="0" w:color="auto"/>
            </w:tcBorders>
            <w:shd w:val="clear" w:color="000000" w:fill="FFFFFF"/>
            <w:noWrap/>
            <w:vAlign w:val="bottom"/>
            <w:hideMark/>
          </w:tcPr>
          <w:p w14:paraId="6E8FFA82"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6,057</w:t>
            </w:r>
          </w:p>
        </w:tc>
      </w:tr>
      <w:tr w:rsidR="00432C73" w:rsidRPr="00432C73" w14:paraId="2438793C" w14:textId="77777777" w:rsidTr="005206E0">
        <w:trPr>
          <w:trHeight w:val="225"/>
        </w:trPr>
        <w:tc>
          <w:tcPr>
            <w:tcW w:w="1260" w:type="dxa"/>
            <w:tcBorders>
              <w:top w:val="nil"/>
              <w:left w:val="single" w:sz="4" w:space="0" w:color="auto"/>
              <w:bottom w:val="nil"/>
              <w:right w:val="nil"/>
            </w:tcBorders>
            <w:shd w:val="clear" w:color="000000" w:fill="FFFFFF"/>
            <w:noWrap/>
            <w:vAlign w:val="bottom"/>
            <w:hideMark/>
          </w:tcPr>
          <w:p w14:paraId="64205C4D" w14:textId="77777777" w:rsidR="00432C73" w:rsidRPr="00432C73" w:rsidRDefault="00432C73" w:rsidP="00432C73">
            <w:pPr>
              <w:spacing w:after="0" w:line="240" w:lineRule="auto"/>
              <w:rPr>
                <w:b/>
                <w:bCs/>
                <w:color w:val="000000"/>
                <w:sz w:val="16"/>
                <w:szCs w:val="16"/>
                <w:lang w:eastAsia="en-GB"/>
              </w:rPr>
            </w:pPr>
            <w:r w:rsidRPr="00432C73">
              <w:rPr>
                <w:b/>
                <w:bCs/>
                <w:color w:val="000000"/>
                <w:sz w:val="16"/>
                <w:szCs w:val="16"/>
                <w:lang w:eastAsia="en-GB"/>
              </w:rPr>
              <w:t> </w:t>
            </w:r>
          </w:p>
        </w:tc>
        <w:tc>
          <w:tcPr>
            <w:tcW w:w="1380" w:type="dxa"/>
            <w:tcBorders>
              <w:top w:val="nil"/>
              <w:left w:val="nil"/>
              <w:bottom w:val="nil"/>
              <w:right w:val="nil"/>
            </w:tcBorders>
            <w:shd w:val="clear" w:color="000000" w:fill="FFFFFF"/>
            <w:noWrap/>
            <w:vAlign w:val="bottom"/>
            <w:hideMark/>
          </w:tcPr>
          <w:p w14:paraId="4881E59E" w14:textId="77777777" w:rsidR="00432C73" w:rsidRPr="00432C73" w:rsidRDefault="00432C73" w:rsidP="00432C73">
            <w:pPr>
              <w:spacing w:after="0" w:line="240" w:lineRule="auto"/>
              <w:rPr>
                <w:sz w:val="16"/>
                <w:szCs w:val="16"/>
                <w:lang w:eastAsia="en-GB"/>
              </w:rPr>
            </w:pPr>
            <w:r w:rsidRPr="00432C73">
              <w:rPr>
                <w:sz w:val="16"/>
                <w:szCs w:val="16"/>
                <w:lang w:eastAsia="en-GB"/>
              </w:rPr>
              <w:t>Invoices</w:t>
            </w:r>
          </w:p>
        </w:tc>
        <w:tc>
          <w:tcPr>
            <w:tcW w:w="960" w:type="dxa"/>
            <w:tcBorders>
              <w:top w:val="nil"/>
              <w:left w:val="nil"/>
              <w:bottom w:val="nil"/>
              <w:right w:val="nil"/>
            </w:tcBorders>
            <w:shd w:val="clear" w:color="000000" w:fill="FFFFFF"/>
            <w:noWrap/>
            <w:vAlign w:val="bottom"/>
            <w:hideMark/>
          </w:tcPr>
          <w:p w14:paraId="3A52AA9A"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471</w:t>
            </w:r>
          </w:p>
        </w:tc>
        <w:tc>
          <w:tcPr>
            <w:tcW w:w="920" w:type="dxa"/>
            <w:tcBorders>
              <w:top w:val="nil"/>
              <w:left w:val="nil"/>
              <w:bottom w:val="nil"/>
              <w:right w:val="nil"/>
            </w:tcBorders>
            <w:shd w:val="clear" w:color="000000" w:fill="FFFFFF"/>
            <w:noWrap/>
            <w:vAlign w:val="bottom"/>
            <w:hideMark/>
          </w:tcPr>
          <w:p w14:paraId="1067A55F"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812</w:t>
            </w:r>
          </w:p>
        </w:tc>
        <w:tc>
          <w:tcPr>
            <w:tcW w:w="900" w:type="dxa"/>
            <w:tcBorders>
              <w:top w:val="nil"/>
              <w:left w:val="nil"/>
              <w:bottom w:val="nil"/>
              <w:right w:val="nil"/>
            </w:tcBorders>
            <w:shd w:val="clear" w:color="000000" w:fill="FFFFFF"/>
            <w:noWrap/>
            <w:vAlign w:val="bottom"/>
            <w:hideMark/>
          </w:tcPr>
          <w:p w14:paraId="733FF5AA"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251</w:t>
            </w:r>
          </w:p>
        </w:tc>
        <w:tc>
          <w:tcPr>
            <w:tcW w:w="920" w:type="dxa"/>
            <w:tcBorders>
              <w:top w:val="nil"/>
              <w:left w:val="nil"/>
              <w:bottom w:val="nil"/>
              <w:right w:val="nil"/>
            </w:tcBorders>
            <w:shd w:val="clear" w:color="000000" w:fill="FFFFFF"/>
            <w:noWrap/>
            <w:vAlign w:val="bottom"/>
            <w:hideMark/>
          </w:tcPr>
          <w:p w14:paraId="77C077E3"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274</w:t>
            </w:r>
          </w:p>
        </w:tc>
        <w:tc>
          <w:tcPr>
            <w:tcW w:w="880" w:type="dxa"/>
            <w:tcBorders>
              <w:top w:val="nil"/>
              <w:left w:val="nil"/>
              <w:bottom w:val="nil"/>
              <w:right w:val="nil"/>
            </w:tcBorders>
            <w:shd w:val="clear" w:color="000000" w:fill="FFFFFF"/>
            <w:noWrap/>
            <w:vAlign w:val="bottom"/>
            <w:hideMark/>
          </w:tcPr>
          <w:p w14:paraId="2DC4267E"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1,382</w:t>
            </w:r>
          </w:p>
        </w:tc>
        <w:tc>
          <w:tcPr>
            <w:tcW w:w="900" w:type="dxa"/>
            <w:tcBorders>
              <w:top w:val="nil"/>
              <w:left w:val="nil"/>
              <w:bottom w:val="nil"/>
              <w:right w:val="nil"/>
            </w:tcBorders>
            <w:shd w:val="clear" w:color="000000" w:fill="FFFFFF"/>
            <w:noWrap/>
            <w:vAlign w:val="bottom"/>
            <w:hideMark/>
          </w:tcPr>
          <w:p w14:paraId="59058052"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1,153</w:t>
            </w:r>
          </w:p>
        </w:tc>
        <w:tc>
          <w:tcPr>
            <w:tcW w:w="880" w:type="dxa"/>
            <w:tcBorders>
              <w:top w:val="nil"/>
              <w:left w:val="nil"/>
              <w:bottom w:val="nil"/>
              <w:right w:val="nil"/>
            </w:tcBorders>
            <w:shd w:val="clear" w:color="000000" w:fill="FFFFFF"/>
            <w:noWrap/>
            <w:vAlign w:val="bottom"/>
            <w:hideMark/>
          </w:tcPr>
          <w:p w14:paraId="4318ADBE"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227</w:t>
            </w:r>
          </w:p>
        </w:tc>
        <w:tc>
          <w:tcPr>
            <w:tcW w:w="920" w:type="dxa"/>
            <w:tcBorders>
              <w:top w:val="nil"/>
              <w:left w:val="nil"/>
              <w:bottom w:val="nil"/>
              <w:right w:val="nil"/>
            </w:tcBorders>
            <w:shd w:val="clear" w:color="000000" w:fill="FFFFFF"/>
            <w:noWrap/>
            <w:vAlign w:val="bottom"/>
            <w:hideMark/>
          </w:tcPr>
          <w:p w14:paraId="24CE37B4"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267</w:t>
            </w:r>
          </w:p>
        </w:tc>
        <w:tc>
          <w:tcPr>
            <w:tcW w:w="880" w:type="dxa"/>
            <w:tcBorders>
              <w:top w:val="nil"/>
              <w:left w:val="nil"/>
              <w:bottom w:val="nil"/>
              <w:right w:val="nil"/>
            </w:tcBorders>
            <w:shd w:val="clear" w:color="000000" w:fill="FFFFFF"/>
            <w:noWrap/>
            <w:vAlign w:val="bottom"/>
            <w:hideMark/>
          </w:tcPr>
          <w:p w14:paraId="163BBA87"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274</w:t>
            </w:r>
          </w:p>
        </w:tc>
        <w:tc>
          <w:tcPr>
            <w:tcW w:w="880" w:type="dxa"/>
            <w:tcBorders>
              <w:top w:val="nil"/>
              <w:left w:val="nil"/>
              <w:bottom w:val="nil"/>
              <w:right w:val="nil"/>
            </w:tcBorders>
            <w:shd w:val="clear" w:color="000000" w:fill="FFFFFF"/>
            <w:noWrap/>
            <w:vAlign w:val="bottom"/>
            <w:hideMark/>
          </w:tcPr>
          <w:p w14:paraId="0C6F811F"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64</w:t>
            </w:r>
          </w:p>
        </w:tc>
        <w:tc>
          <w:tcPr>
            <w:tcW w:w="920" w:type="dxa"/>
            <w:tcBorders>
              <w:top w:val="nil"/>
              <w:left w:val="nil"/>
              <w:bottom w:val="nil"/>
              <w:right w:val="nil"/>
            </w:tcBorders>
            <w:shd w:val="clear" w:color="000000" w:fill="FFFFFF"/>
            <w:noWrap/>
            <w:vAlign w:val="bottom"/>
            <w:hideMark/>
          </w:tcPr>
          <w:p w14:paraId="2CB93EF5"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705</w:t>
            </w:r>
          </w:p>
        </w:tc>
        <w:tc>
          <w:tcPr>
            <w:tcW w:w="880" w:type="dxa"/>
            <w:tcBorders>
              <w:top w:val="nil"/>
              <w:left w:val="nil"/>
              <w:bottom w:val="nil"/>
              <w:right w:val="nil"/>
            </w:tcBorders>
            <w:shd w:val="clear" w:color="000000" w:fill="FFFFFF"/>
            <w:noWrap/>
            <w:vAlign w:val="bottom"/>
            <w:hideMark/>
          </w:tcPr>
          <w:p w14:paraId="59B0F56C"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490</w:t>
            </w:r>
          </w:p>
        </w:tc>
        <w:tc>
          <w:tcPr>
            <w:tcW w:w="1257" w:type="dxa"/>
            <w:tcBorders>
              <w:top w:val="nil"/>
              <w:left w:val="nil"/>
              <w:bottom w:val="nil"/>
              <w:right w:val="single" w:sz="4" w:space="0" w:color="auto"/>
            </w:tcBorders>
            <w:shd w:val="clear" w:color="000000" w:fill="FFFFFF"/>
            <w:noWrap/>
            <w:vAlign w:val="bottom"/>
            <w:hideMark/>
          </w:tcPr>
          <w:p w14:paraId="74C427D1"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6,369</w:t>
            </w:r>
          </w:p>
        </w:tc>
      </w:tr>
      <w:tr w:rsidR="00432C73" w:rsidRPr="00432C73" w14:paraId="61C82571" w14:textId="77777777" w:rsidTr="005206E0">
        <w:trPr>
          <w:trHeight w:val="225"/>
        </w:trPr>
        <w:tc>
          <w:tcPr>
            <w:tcW w:w="1260" w:type="dxa"/>
            <w:tcBorders>
              <w:top w:val="nil"/>
              <w:left w:val="single" w:sz="4" w:space="0" w:color="auto"/>
              <w:bottom w:val="nil"/>
              <w:right w:val="nil"/>
            </w:tcBorders>
            <w:shd w:val="clear" w:color="000000" w:fill="FFFFFF"/>
            <w:noWrap/>
            <w:vAlign w:val="bottom"/>
            <w:hideMark/>
          </w:tcPr>
          <w:p w14:paraId="258FB376" w14:textId="77777777" w:rsidR="00432C73" w:rsidRPr="00432C73" w:rsidRDefault="00432C73" w:rsidP="00432C73">
            <w:pPr>
              <w:spacing w:after="0" w:line="240" w:lineRule="auto"/>
              <w:rPr>
                <w:b/>
                <w:bCs/>
                <w:color w:val="000000"/>
                <w:sz w:val="16"/>
                <w:szCs w:val="16"/>
                <w:lang w:eastAsia="en-GB"/>
              </w:rPr>
            </w:pPr>
            <w:r w:rsidRPr="00432C73">
              <w:rPr>
                <w:b/>
                <w:bCs/>
                <w:color w:val="000000"/>
                <w:sz w:val="16"/>
                <w:szCs w:val="16"/>
                <w:lang w:eastAsia="en-GB"/>
              </w:rPr>
              <w:t> </w:t>
            </w:r>
          </w:p>
        </w:tc>
        <w:tc>
          <w:tcPr>
            <w:tcW w:w="1380" w:type="dxa"/>
            <w:tcBorders>
              <w:top w:val="nil"/>
              <w:left w:val="nil"/>
              <w:bottom w:val="nil"/>
              <w:right w:val="nil"/>
            </w:tcBorders>
            <w:shd w:val="clear" w:color="000000" w:fill="FFFFFF"/>
            <w:noWrap/>
            <w:vAlign w:val="bottom"/>
            <w:hideMark/>
          </w:tcPr>
          <w:p w14:paraId="14E48658" w14:textId="77777777" w:rsidR="00432C73" w:rsidRPr="00432C73" w:rsidRDefault="00432C73" w:rsidP="00432C73">
            <w:pPr>
              <w:spacing w:after="0" w:line="240" w:lineRule="auto"/>
              <w:rPr>
                <w:sz w:val="16"/>
                <w:szCs w:val="16"/>
                <w:lang w:eastAsia="en-GB"/>
              </w:rPr>
            </w:pPr>
            <w:r w:rsidRPr="00432C73">
              <w:rPr>
                <w:sz w:val="16"/>
                <w:szCs w:val="16"/>
                <w:lang w:eastAsia="en-GB"/>
              </w:rPr>
              <w:t>Payments</w:t>
            </w:r>
          </w:p>
        </w:tc>
        <w:tc>
          <w:tcPr>
            <w:tcW w:w="960" w:type="dxa"/>
            <w:tcBorders>
              <w:top w:val="nil"/>
              <w:left w:val="nil"/>
              <w:bottom w:val="nil"/>
              <w:right w:val="nil"/>
            </w:tcBorders>
            <w:shd w:val="clear" w:color="000000" w:fill="FFFFFF"/>
            <w:noWrap/>
            <w:vAlign w:val="bottom"/>
            <w:hideMark/>
          </w:tcPr>
          <w:p w14:paraId="1E029498"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(1051)</w:t>
            </w:r>
          </w:p>
        </w:tc>
        <w:tc>
          <w:tcPr>
            <w:tcW w:w="920" w:type="dxa"/>
            <w:tcBorders>
              <w:top w:val="nil"/>
              <w:left w:val="nil"/>
              <w:bottom w:val="nil"/>
              <w:right w:val="nil"/>
            </w:tcBorders>
            <w:shd w:val="clear" w:color="000000" w:fill="FFFFFF"/>
            <w:noWrap/>
            <w:vAlign w:val="bottom"/>
            <w:hideMark/>
          </w:tcPr>
          <w:p w14:paraId="640B4EA7"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0</w:t>
            </w:r>
          </w:p>
        </w:tc>
        <w:tc>
          <w:tcPr>
            <w:tcW w:w="900" w:type="dxa"/>
            <w:tcBorders>
              <w:top w:val="nil"/>
              <w:left w:val="nil"/>
              <w:bottom w:val="nil"/>
              <w:right w:val="nil"/>
            </w:tcBorders>
            <w:shd w:val="clear" w:color="000000" w:fill="FFFFFF"/>
            <w:noWrap/>
            <w:vAlign w:val="bottom"/>
            <w:hideMark/>
          </w:tcPr>
          <w:p w14:paraId="20D548CB"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(30)</w:t>
            </w:r>
          </w:p>
        </w:tc>
        <w:tc>
          <w:tcPr>
            <w:tcW w:w="920" w:type="dxa"/>
            <w:tcBorders>
              <w:top w:val="nil"/>
              <w:left w:val="nil"/>
              <w:bottom w:val="nil"/>
              <w:right w:val="nil"/>
            </w:tcBorders>
            <w:shd w:val="clear" w:color="000000" w:fill="FFFFFF"/>
            <w:noWrap/>
            <w:vAlign w:val="bottom"/>
            <w:hideMark/>
          </w:tcPr>
          <w:p w14:paraId="31564B58"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0</w:t>
            </w:r>
          </w:p>
        </w:tc>
        <w:tc>
          <w:tcPr>
            <w:tcW w:w="880" w:type="dxa"/>
            <w:tcBorders>
              <w:top w:val="nil"/>
              <w:left w:val="nil"/>
              <w:bottom w:val="nil"/>
              <w:right w:val="nil"/>
            </w:tcBorders>
            <w:shd w:val="clear" w:color="000000" w:fill="FFFFFF"/>
            <w:noWrap/>
            <w:vAlign w:val="bottom"/>
            <w:hideMark/>
          </w:tcPr>
          <w:p w14:paraId="56954044"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84</w:t>
            </w:r>
          </w:p>
        </w:tc>
        <w:tc>
          <w:tcPr>
            <w:tcW w:w="900" w:type="dxa"/>
            <w:tcBorders>
              <w:top w:val="nil"/>
              <w:left w:val="nil"/>
              <w:bottom w:val="nil"/>
              <w:right w:val="nil"/>
            </w:tcBorders>
            <w:shd w:val="clear" w:color="000000" w:fill="FFFFFF"/>
            <w:noWrap/>
            <w:vAlign w:val="bottom"/>
            <w:hideMark/>
          </w:tcPr>
          <w:p w14:paraId="36CF4D9D"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0</w:t>
            </w:r>
          </w:p>
        </w:tc>
        <w:tc>
          <w:tcPr>
            <w:tcW w:w="880" w:type="dxa"/>
            <w:tcBorders>
              <w:top w:val="nil"/>
              <w:left w:val="nil"/>
              <w:bottom w:val="nil"/>
              <w:right w:val="nil"/>
            </w:tcBorders>
            <w:shd w:val="clear" w:color="000000" w:fill="FFFFFF"/>
            <w:noWrap/>
            <w:vAlign w:val="bottom"/>
            <w:hideMark/>
          </w:tcPr>
          <w:p w14:paraId="49E162DE"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(1403)</w:t>
            </w:r>
          </w:p>
        </w:tc>
        <w:tc>
          <w:tcPr>
            <w:tcW w:w="920" w:type="dxa"/>
            <w:tcBorders>
              <w:top w:val="nil"/>
              <w:left w:val="nil"/>
              <w:bottom w:val="nil"/>
              <w:right w:val="nil"/>
            </w:tcBorders>
            <w:shd w:val="clear" w:color="000000" w:fill="FFFFFF"/>
            <w:noWrap/>
            <w:vAlign w:val="bottom"/>
            <w:hideMark/>
          </w:tcPr>
          <w:p w14:paraId="669AA887"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(455)</w:t>
            </w:r>
          </w:p>
        </w:tc>
        <w:tc>
          <w:tcPr>
            <w:tcW w:w="880" w:type="dxa"/>
            <w:tcBorders>
              <w:top w:val="nil"/>
              <w:left w:val="nil"/>
              <w:bottom w:val="nil"/>
              <w:right w:val="nil"/>
            </w:tcBorders>
            <w:shd w:val="clear" w:color="000000" w:fill="FFFFFF"/>
            <w:noWrap/>
            <w:vAlign w:val="bottom"/>
            <w:hideMark/>
          </w:tcPr>
          <w:p w14:paraId="564020A1"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w:t>
            </w:r>
          </w:p>
        </w:tc>
        <w:tc>
          <w:tcPr>
            <w:tcW w:w="880" w:type="dxa"/>
            <w:tcBorders>
              <w:top w:val="nil"/>
              <w:left w:val="nil"/>
              <w:bottom w:val="nil"/>
              <w:right w:val="nil"/>
            </w:tcBorders>
            <w:shd w:val="clear" w:color="000000" w:fill="FFFFFF"/>
            <w:noWrap/>
            <w:vAlign w:val="bottom"/>
            <w:hideMark/>
          </w:tcPr>
          <w:p w14:paraId="7530954E"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(1287)</w:t>
            </w:r>
          </w:p>
        </w:tc>
        <w:tc>
          <w:tcPr>
            <w:tcW w:w="920" w:type="dxa"/>
            <w:tcBorders>
              <w:top w:val="nil"/>
              <w:left w:val="nil"/>
              <w:bottom w:val="nil"/>
              <w:right w:val="nil"/>
            </w:tcBorders>
            <w:shd w:val="clear" w:color="000000" w:fill="FFFFFF"/>
            <w:noWrap/>
            <w:vAlign w:val="bottom"/>
            <w:hideMark/>
          </w:tcPr>
          <w:p w14:paraId="63DCC2DA"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(559)</w:t>
            </w:r>
          </w:p>
        </w:tc>
        <w:tc>
          <w:tcPr>
            <w:tcW w:w="880" w:type="dxa"/>
            <w:tcBorders>
              <w:top w:val="nil"/>
              <w:left w:val="nil"/>
              <w:bottom w:val="nil"/>
              <w:right w:val="nil"/>
            </w:tcBorders>
            <w:shd w:val="clear" w:color="000000" w:fill="FFFFFF"/>
            <w:noWrap/>
            <w:vAlign w:val="bottom"/>
            <w:hideMark/>
          </w:tcPr>
          <w:p w14:paraId="272C063B"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0</w:t>
            </w:r>
          </w:p>
        </w:tc>
        <w:tc>
          <w:tcPr>
            <w:tcW w:w="1257" w:type="dxa"/>
            <w:tcBorders>
              <w:top w:val="nil"/>
              <w:left w:val="nil"/>
              <w:bottom w:val="nil"/>
              <w:right w:val="single" w:sz="4" w:space="0" w:color="auto"/>
            </w:tcBorders>
            <w:shd w:val="clear" w:color="000000" w:fill="FFFFFF"/>
            <w:noWrap/>
            <w:vAlign w:val="bottom"/>
            <w:hideMark/>
          </w:tcPr>
          <w:p w14:paraId="5EF7C186"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(4702)</w:t>
            </w:r>
          </w:p>
        </w:tc>
      </w:tr>
      <w:tr w:rsidR="00432C73" w:rsidRPr="00432C73" w14:paraId="11A4EEA8" w14:textId="77777777" w:rsidTr="005206E0">
        <w:trPr>
          <w:trHeight w:val="225"/>
        </w:trPr>
        <w:tc>
          <w:tcPr>
            <w:tcW w:w="1260" w:type="dxa"/>
            <w:tcBorders>
              <w:top w:val="nil"/>
              <w:left w:val="single" w:sz="4" w:space="0" w:color="auto"/>
              <w:bottom w:val="single" w:sz="4" w:space="0" w:color="auto"/>
              <w:right w:val="nil"/>
            </w:tcBorders>
            <w:shd w:val="clear" w:color="000000" w:fill="FFFFFF"/>
            <w:noWrap/>
            <w:vAlign w:val="bottom"/>
            <w:hideMark/>
          </w:tcPr>
          <w:p w14:paraId="5651523E" w14:textId="77777777" w:rsidR="00432C73" w:rsidRPr="00432C73" w:rsidRDefault="00432C73" w:rsidP="00432C73">
            <w:pPr>
              <w:spacing w:after="0" w:line="240" w:lineRule="auto"/>
              <w:rPr>
                <w:b/>
                <w:bCs/>
                <w:color w:val="000000"/>
                <w:sz w:val="16"/>
                <w:szCs w:val="16"/>
                <w:lang w:eastAsia="en-GB"/>
              </w:rPr>
            </w:pPr>
            <w:r w:rsidRPr="00432C73">
              <w:rPr>
                <w:b/>
                <w:bCs/>
                <w:color w:val="000000"/>
                <w:sz w:val="16"/>
                <w:szCs w:val="16"/>
                <w:lang w:eastAsia="en-GB"/>
              </w:rPr>
              <w:t> </w:t>
            </w:r>
          </w:p>
        </w:tc>
        <w:tc>
          <w:tcPr>
            <w:tcW w:w="1380" w:type="dxa"/>
            <w:tcBorders>
              <w:top w:val="nil"/>
              <w:left w:val="nil"/>
              <w:bottom w:val="single" w:sz="4" w:space="0" w:color="auto"/>
              <w:right w:val="nil"/>
            </w:tcBorders>
            <w:shd w:val="clear" w:color="000000" w:fill="FFFFFF"/>
            <w:noWrap/>
            <w:vAlign w:val="bottom"/>
            <w:hideMark/>
          </w:tcPr>
          <w:p w14:paraId="08CCE779" w14:textId="77777777" w:rsidR="00432C73" w:rsidRPr="00432C73" w:rsidRDefault="00432C73" w:rsidP="00432C73">
            <w:pPr>
              <w:spacing w:after="0" w:line="240" w:lineRule="auto"/>
              <w:rPr>
                <w:sz w:val="16"/>
                <w:szCs w:val="16"/>
                <w:lang w:eastAsia="en-GB"/>
              </w:rPr>
            </w:pPr>
            <w:r w:rsidRPr="00432C73">
              <w:rPr>
                <w:sz w:val="16"/>
                <w:szCs w:val="16"/>
                <w:lang w:eastAsia="en-GB"/>
              </w:rPr>
              <w:t>Closing Debtors</w:t>
            </w:r>
          </w:p>
        </w:tc>
        <w:tc>
          <w:tcPr>
            <w:tcW w:w="960" w:type="dxa"/>
            <w:tcBorders>
              <w:top w:val="nil"/>
              <w:left w:val="nil"/>
              <w:bottom w:val="single" w:sz="4" w:space="0" w:color="auto"/>
              <w:right w:val="nil"/>
            </w:tcBorders>
            <w:shd w:val="clear" w:color="000000" w:fill="FFFFFF"/>
            <w:noWrap/>
            <w:vAlign w:val="bottom"/>
            <w:hideMark/>
          </w:tcPr>
          <w:p w14:paraId="37D8C35B"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5,478</w:t>
            </w:r>
          </w:p>
        </w:tc>
        <w:tc>
          <w:tcPr>
            <w:tcW w:w="920" w:type="dxa"/>
            <w:tcBorders>
              <w:top w:val="nil"/>
              <w:left w:val="nil"/>
              <w:bottom w:val="single" w:sz="4" w:space="0" w:color="auto"/>
              <w:right w:val="nil"/>
            </w:tcBorders>
            <w:shd w:val="clear" w:color="000000" w:fill="FFFFFF"/>
            <w:noWrap/>
            <w:vAlign w:val="bottom"/>
            <w:hideMark/>
          </w:tcPr>
          <w:p w14:paraId="11CB4EF5"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6,289</w:t>
            </w:r>
          </w:p>
        </w:tc>
        <w:tc>
          <w:tcPr>
            <w:tcW w:w="900" w:type="dxa"/>
            <w:tcBorders>
              <w:top w:val="nil"/>
              <w:left w:val="nil"/>
              <w:bottom w:val="single" w:sz="4" w:space="0" w:color="auto"/>
              <w:right w:val="nil"/>
            </w:tcBorders>
            <w:shd w:val="clear" w:color="000000" w:fill="FFFFFF"/>
            <w:noWrap/>
            <w:vAlign w:val="bottom"/>
            <w:hideMark/>
          </w:tcPr>
          <w:p w14:paraId="3FA0B8C3"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6,510</w:t>
            </w:r>
          </w:p>
        </w:tc>
        <w:tc>
          <w:tcPr>
            <w:tcW w:w="920" w:type="dxa"/>
            <w:tcBorders>
              <w:top w:val="nil"/>
              <w:left w:val="nil"/>
              <w:bottom w:val="single" w:sz="4" w:space="0" w:color="auto"/>
              <w:right w:val="nil"/>
            </w:tcBorders>
            <w:shd w:val="clear" w:color="000000" w:fill="FFFFFF"/>
            <w:noWrap/>
            <w:vAlign w:val="bottom"/>
            <w:hideMark/>
          </w:tcPr>
          <w:p w14:paraId="13DCEDAE"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6,784</w:t>
            </w:r>
          </w:p>
        </w:tc>
        <w:tc>
          <w:tcPr>
            <w:tcW w:w="880" w:type="dxa"/>
            <w:tcBorders>
              <w:top w:val="nil"/>
              <w:left w:val="nil"/>
              <w:bottom w:val="single" w:sz="4" w:space="0" w:color="auto"/>
              <w:right w:val="nil"/>
            </w:tcBorders>
            <w:shd w:val="clear" w:color="000000" w:fill="FFFFFF"/>
            <w:noWrap/>
            <w:vAlign w:val="bottom"/>
            <w:hideMark/>
          </w:tcPr>
          <w:p w14:paraId="1D96E1B6"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8,151</w:t>
            </w:r>
          </w:p>
        </w:tc>
        <w:tc>
          <w:tcPr>
            <w:tcW w:w="900" w:type="dxa"/>
            <w:tcBorders>
              <w:top w:val="nil"/>
              <w:left w:val="nil"/>
              <w:bottom w:val="single" w:sz="4" w:space="0" w:color="auto"/>
              <w:right w:val="nil"/>
            </w:tcBorders>
            <w:shd w:val="clear" w:color="000000" w:fill="FFFFFF"/>
            <w:noWrap/>
            <w:vAlign w:val="bottom"/>
            <w:hideMark/>
          </w:tcPr>
          <w:p w14:paraId="405DD11E"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9,304</w:t>
            </w:r>
          </w:p>
        </w:tc>
        <w:tc>
          <w:tcPr>
            <w:tcW w:w="880" w:type="dxa"/>
            <w:tcBorders>
              <w:top w:val="nil"/>
              <w:left w:val="nil"/>
              <w:bottom w:val="single" w:sz="4" w:space="0" w:color="auto"/>
              <w:right w:val="nil"/>
            </w:tcBorders>
            <w:shd w:val="clear" w:color="000000" w:fill="FFFFFF"/>
            <w:noWrap/>
            <w:vAlign w:val="bottom"/>
            <w:hideMark/>
          </w:tcPr>
          <w:p w14:paraId="6A2C491B"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8,127</w:t>
            </w:r>
          </w:p>
        </w:tc>
        <w:tc>
          <w:tcPr>
            <w:tcW w:w="920" w:type="dxa"/>
            <w:tcBorders>
              <w:top w:val="nil"/>
              <w:left w:val="nil"/>
              <w:bottom w:val="single" w:sz="4" w:space="0" w:color="auto"/>
              <w:right w:val="nil"/>
            </w:tcBorders>
            <w:shd w:val="clear" w:color="000000" w:fill="FFFFFF"/>
            <w:noWrap/>
            <w:vAlign w:val="bottom"/>
            <w:hideMark/>
          </w:tcPr>
          <w:p w14:paraId="3FFD8F83"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7,937</w:t>
            </w:r>
          </w:p>
        </w:tc>
        <w:tc>
          <w:tcPr>
            <w:tcW w:w="880" w:type="dxa"/>
            <w:tcBorders>
              <w:top w:val="nil"/>
              <w:left w:val="nil"/>
              <w:bottom w:val="single" w:sz="4" w:space="0" w:color="auto"/>
              <w:right w:val="nil"/>
            </w:tcBorders>
            <w:shd w:val="clear" w:color="000000" w:fill="FFFFFF"/>
            <w:noWrap/>
            <w:vAlign w:val="bottom"/>
            <w:hideMark/>
          </w:tcPr>
          <w:p w14:paraId="7D777458"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8,211</w:t>
            </w:r>
          </w:p>
        </w:tc>
        <w:tc>
          <w:tcPr>
            <w:tcW w:w="880" w:type="dxa"/>
            <w:tcBorders>
              <w:top w:val="nil"/>
              <w:left w:val="nil"/>
              <w:bottom w:val="single" w:sz="4" w:space="0" w:color="auto"/>
              <w:right w:val="nil"/>
            </w:tcBorders>
            <w:shd w:val="clear" w:color="000000" w:fill="FFFFFF"/>
            <w:noWrap/>
            <w:vAlign w:val="bottom"/>
            <w:hideMark/>
          </w:tcPr>
          <w:p w14:paraId="6AB7596A"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6,987</w:t>
            </w:r>
          </w:p>
        </w:tc>
        <w:tc>
          <w:tcPr>
            <w:tcW w:w="920" w:type="dxa"/>
            <w:tcBorders>
              <w:top w:val="nil"/>
              <w:left w:val="nil"/>
              <w:bottom w:val="single" w:sz="4" w:space="0" w:color="auto"/>
              <w:right w:val="nil"/>
            </w:tcBorders>
            <w:shd w:val="clear" w:color="000000" w:fill="FFFFFF"/>
            <w:noWrap/>
            <w:vAlign w:val="bottom"/>
            <w:hideMark/>
          </w:tcPr>
          <w:p w14:paraId="16EE24AE"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7,099</w:t>
            </w:r>
          </w:p>
        </w:tc>
        <w:tc>
          <w:tcPr>
            <w:tcW w:w="880" w:type="dxa"/>
            <w:tcBorders>
              <w:top w:val="nil"/>
              <w:left w:val="nil"/>
              <w:bottom w:val="single" w:sz="4" w:space="0" w:color="auto"/>
              <w:right w:val="nil"/>
            </w:tcBorders>
            <w:shd w:val="clear" w:color="000000" w:fill="FFFFFF"/>
            <w:noWrap/>
            <w:vAlign w:val="bottom"/>
            <w:hideMark/>
          </w:tcPr>
          <w:p w14:paraId="4901F3A3"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7,590</w:t>
            </w:r>
          </w:p>
        </w:tc>
        <w:tc>
          <w:tcPr>
            <w:tcW w:w="1257" w:type="dxa"/>
            <w:tcBorders>
              <w:top w:val="nil"/>
              <w:left w:val="nil"/>
              <w:bottom w:val="single" w:sz="4" w:space="0" w:color="auto"/>
              <w:right w:val="single" w:sz="4" w:space="0" w:color="auto"/>
            </w:tcBorders>
            <w:shd w:val="clear" w:color="000000" w:fill="FFFFFF"/>
            <w:noWrap/>
            <w:vAlign w:val="bottom"/>
            <w:hideMark/>
          </w:tcPr>
          <w:p w14:paraId="6AEC988B"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7,590</w:t>
            </w:r>
          </w:p>
        </w:tc>
      </w:tr>
      <w:tr w:rsidR="00432C73" w:rsidRPr="00432C73" w14:paraId="561F05A4" w14:textId="77777777" w:rsidTr="005206E0">
        <w:trPr>
          <w:trHeight w:val="225"/>
        </w:trPr>
        <w:tc>
          <w:tcPr>
            <w:tcW w:w="1260" w:type="dxa"/>
            <w:tcBorders>
              <w:top w:val="nil"/>
              <w:left w:val="single" w:sz="4" w:space="0" w:color="auto"/>
              <w:bottom w:val="nil"/>
              <w:right w:val="nil"/>
            </w:tcBorders>
            <w:shd w:val="clear" w:color="000000" w:fill="FFFFFF"/>
            <w:noWrap/>
            <w:vAlign w:val="bottom"/>
            <w:hideMark/>
          </w:tcPr>
          <w:p w14:paraId="7F6454B5" w14:textId="77777777" w:rsidR="00432C73" w:rsidRPr="00432C73" w:rsidRDefault="00432C73" w:rsidP="00432C73">
            <w:pPr>
              <w:spacing w:after="0" w:line="240" w:lineRule="auto"/>
              <w:rPr>
                <w:b/>
                <w:bCs/>
                <w:color w:val="000000"/>
                <w:sz w:val="16"/>
                <w:szCs w:val="16"/>
                <w:lang w:eastAsia="en-GB"/>
              </w:rPr>
            </w:pPr>
            <w:r w:rsidRPr="00432C73">
              <w:rPr>
                <w:b/>
                <w:bCs/>
                <w:color w:val="000000"/>
                <w:sz w:val="16"/>
                <w:szCs w:val="16"/>
                <w:lang w:eastAsia="en-GB"/>
              </w:rPr>
              <w:t>Qatar</w:t>
            </w:r>
          </w:p>
        </w:tc>
        <w:tc>
          <w:tcPr>
            <w:tcW w:w="1380" w:type="dxa"/>
            <w:tcBorders>
              <w:top w:val="nil"/>
              <w:left w:val="nil"/>
              <w:bottom w:val="nil"/>
              <w:right w:val="nil"/>
            </w:tcBorders>
            <w:shd w:val="clear" w:color="000000" w:fill="FFFFFF"/>
            <w:noWrap/>
            <w:vAlign w:val="bottom"/>
            <w:hideMark/>
          </w:tcPr>
          <w:p w14:paraId="47128E01" w14:textId="77777777" w:rsidR="00432C73" w:rsidRPr="00432C73" w:rsidRDefault="00432C73" w:rsidP="00432C73">
            <w:pPr>
              <w:spacing w:after="0" w:line="240" w:lineRule="auto"/>
              <w:rPr>
                <w:sz w:val="16"/>
                <w:szCs w:val="16"/>
                <w:lang w:eastAsia="en-GB"/>
              </w:rPr>
            </w:pPr>
            <w:r w:rsidRPr="00432C73">
              <w:rPr>
                <w:sz w:val="16"/>
                <w:szCs w:val="16"/>
                <w:lang w:eastAsia="en-GB"/>
              </w:rPr>
              <w:t>Opening Debtors</w:t>
            </w:r>
          </w:p>
        </w:tc>
        <w:tc>
          <w:tcPr>
            <w:tcW w:w="960" w:type="dxa"/>
            <w:tcBorders>
              <w:top w:val="nil"/>
              <w:left w:val="nil"/>
              <w:bottom w:val="nil"/>
              <w:right w:val="nil"/>
            </w:tcBorders>
            <w:shd w:val="clear" w:color="000000" w:fill="FFFFFF"/>
            <w:noWrap/>
            <w:vAlign w:val="bottom"/>
            <w:hideMark/>
          </w:tcPr>
          <w:p w14:paraId="2DDE85B8"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3,843</w:t>
            </w:r>
          </w:p>
        </w:tc>
        <w:tc>
          <w:tcPr>
            <w:tcW w:w="920" w:type="dxa"/>
            <w:tcBorders>
              <w:top w:val="nil"/>
              <w:left w:val="nil"/>
              <w:bottom w:val="nil"/>
              <w:right w:val="nil"/>
            </w:tcBorders>
            <w:shd w:val="clear" w:color="000000" w:fill="FFFFFF"/>
            <w:noWrap/>
            <w:vAlign w:val="bottom"/>
            <w:hideMark/>
          </w:tcPr>
          <w:p w14:paraId="4CBCB704"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3,486</w:t>
            </w:r>
          </w:p>
        </w:tc>
        <w:tc>
          <w:tcPr>
            <w:tcW w:w="900" w:type="dxa"/>
            <w:tcBorders>
              <w:top w:val="nil"/>
              <w:left w:val="nil"/>
              <w:bottom w:val="nil"/>
              <w:right w:val="nil"/>
            </w:tcBorders>
            <w:shd w:val="clear" w:color="000000" w:fill="FFFFFF"/>
            <w:noWrap/>
            <w:vAlign w:val="bottom"/>
            <w:hideMark/>
          </w:tcPr>
          <w:p w14:paraId="7EC5DFC1"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3,870</w:t>
            </w:r>
          </w:p>
        </w:tc>
        <w:tc>
          <w:tcPr>
            <w:tcW w:w="920" w:type="dxa"/>
            <w:tcBorders>
              <w:top w:val="nil"/>
              <w:left w:val="nil"/>
              <w:bottom w:val="nil"/>
              <w:right w:val="nil"/>
            </w:tcBorders>
            <w:shd w:val="clear" w:color="000000" w:fill="FFFFFF"/>
            <w:noWrap/>
            <w:vAlign w:val="bottom"/>
            <w:hideMark/>
          </w:tcPr>
          <w:p w14:paraId="0825DE03"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4,851</w:t>
            </w:r>
          </w:p>
        </w:tc>
        <w:tc>
          <w:tcPr>
            <w:tcW w:w="880" w:type="dxa"/>
            <w:tcBorders>
              <w:top w:val="nil"/>
              <w:left w:val="nil"/>
              <w:bottom w:val="nil"/>
              <w:right w:val="nil"/>
            </w:tcBorders>
            <w:shd w:val="clear" w:color="000000" w:fill="FFFFFF"/>
            <w:noWrap/>
            <w:vAlign w:val="bottom"/>
            <w:hideMark/>
          </w:tcPr>
          <w:p w14:paraId="2FC2C5F9"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5,371</w:t>
            </w:r>
          </w:p>
        </w:tc>
        <w:tc>
          <w:tcPr>
            <w:tcW w:w="900" w:type="dxa"/>
            <w:tcBorders>
              <w:top w:val="nil"/>
              <w:left w:val="nil"/>
              <w:bottom w:val="nil"/>
              <w:right w:val="nil"/>
            </w:tcBorders>
            <w:shd w:val="clear" w:color="000000" w:fill="FFFFFF"/>
            <w:noWrap/>
            <w:vAlign w:val="bottom"/>
            <w:hideMark/>
          </w:tcPr>
          <w:p w14:paraId="5E31B3BA"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5,268</w:t>
            </w:r>
          </w:p>
        </w:tc>
        <w:tc>
          <w:tcPr>
            <w:tcW w:w="880" w:type="dxa"/>
            <w:tcBorders>
              <w:top w:val="nil"/>
              <w:left w:val="nil"/>
              <w:bottom w:val="nil"/>
              <w:right w:val="nil"/>
            </w:tcBorders>
            <w:shd w:val="clear" w:color="000000" w:fill="FFFFFF"/>
            <w:noWrap/>
            <w:vAlign w:val="bottom"/>
            <w:hideMark/>
          </w:tcPr>
          <w:p w14:paraId="33C8D158"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3,595</w:t>
            </w:r>
          </w:p>
        </w:tc>
        <w:tc>
          <w:tcPr>
            <w:tcW w:w="920" w:type="dxa"/>
            <w:tcBorders>
              <w:top w:val="nil"/>
              <w:left w:val="nil"/>
              <w:bottom w:val="nil"/>
              <w:right w:val="nil"/>
            </w:tcBorders>
            <w:shd w:val="clear" w:color="000000" w:fill="FFFFFF"/>
            <w:noWrap/>
            <w:vAlign w:val="bottom"/>
            <w:hideMark/>
          </w:tcPr>
          <w:p w14:paraId="3A13F097"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3,679</w:t>
            </w:r>
          </w:p>
        </w:tc>
        <w:tc>
          <w:tcPr>
            <w:tcW w:w="880" w:type="dxa"/>
            <w:tcBorders>
              <w:top w:val="nil"/>
              <w:left w:val="nil"/>
              <w:bottom w:val="nil"/>
              <w:right w:val="nil"/>
            </w:tcBorders>
            <w:shd w:val="clear" w:color="000000" w:fill="FFFFFF"/>
            <w:noWrap/>
            <w:vAlign w:val="bottom"/>
            <w:hideMark/>
          </w:tcPr>
          <w:p w14:paraId="2A019F9B"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2,863</w:t>
            </w:r>
          </w:p>
        </w:tc>
        <w:tc>
          <w:tcPr>
            <w:tcW w:w="880" w:type="dxa"/>
            <w:tcBorders>
              <w:top w:val="nil"/>
              <w:left w:val="nil"/>
              <w:bottom w:val="nil"/>
              <w:right w:val="nil"/>
            </w:tcBorders>
            <w:shd w:val="clear" w:color="000000" w:fill="FFFFFF"/>
            <w:noWrap/>
            <w:vAlign w:val="bottom"/>
            <w:hideMark/>
          </w:tcPr>
          <w:p w14:paraId="1B54D37B"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2,958</w:t>
            </w:r>
          </w:p>
        </w:tc>
        <w:tc>
          <w:tcPr>
            <w:tcW w:w="920" w:type="dxa"/>
            <w:tcBorders>
              <w:top w:val="nil"/>
              <w:left w:val="nil"/>
              <w:bottom w:val="nil"/>
              <w:right w:val="nil"/>
            </w:tcBorders>
            <w:shd w:val="clear" w:color="000000" w:fill="FFFFFF"/>
            <w:noWrap/>
            <w:vAlign w:val="bottom"/>
            <w:hideMark/>
          </w:tcPr>
          <w:p w14:paraId="2041C4D1"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2,821</w:t>
            </w:r>
          </w:p>
        </w:tc>
        <w:tc>
          <w:tcPr>
            <w:tcW w:w="880" w:type="dxa"/>
            <w:tcBorders>
              <w:top w:val="nil"/>
              <w:left w:val="nil"/>
              <w:bottom w:val="nil"/>
              <w:right w:val="nil"/>
            </w:tcBorders>
            <w:shd w:val="clear" w:color="000000" w:fill="FFFFFF"/>
            <w:noWrap/>
            <w:vAlign w:val="bottom"/>
            <w:hideMark/>
          </w:tcPr>
          <w:p w14:paraId="16284312"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2,785</w:t>
            </w:r>
          </w:p>
        </w:tc>
        <w:tc>
          <w:tcPr>
            <w:tcW w:w="1257" w:type="dxa"/>
            <w:tcBorders>
              <w:top w:val="nil"/>
              <w:left w:val="nil"/>
              <w:bottom w:val="nil"/>
              <w:right w:val="single" w:sz="4" w:space="0" w:color="auto"/>
            </w:tcBorders>
            <w:shd w:val="clear" w:color="000000" w:fill="FFFFFF"/>
            <w:noWrap/>
            <w:vAlign w:val="bottom"/>
            <w:hideMark/>
          </w:tcPr>
          <w:p w14:paraId="21A1C569"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3,843</w:t>
            </w:r>
          </w:p>
        </w:tc>
      </w:tr>
      <w:tr w:rsidR="00432C73" w:rsidRPr="00432C73" w14:paraId="0B9650F8" w14:textId="77777777" w:rsidTr="005206E0">
        <w:trPr>
          <w:trHeight w:val="225"/>
        </w:trPr>
        <w:tc>
          <w:tcPr>
            <w:tcW w:w="1260" w:type="dxa"/>
            <w:tcBorders>
              <w:top w:val="nil"/>
              <w:left w:val="single" w:sz="4" w:space="0" w:color="auto"/>
              <w:bottom w:val="nil"/>
              <w:right w:val="nil"/>
            </w:tcBorders>
            <w:shd w:val="clear" w:color="000000" w:fill="FFFFFF"/>
            <w:noWrap/>
            <w:vAlign w:val="bottom"/>
            <w:hideMark/>
          </w:tcPr>
          <w:p w14:paraId="7F283CC4" w14:textId="77777777" w:rsidR="00432C73" w:rsidRPr="00432C73" w:rsidRDefault="00432C73" w:rsidP="00432C73">
            <w:pPr>
              <w:spacing w:after="0" w:line="240" w:lineRule="auto"/>
              <w:rPr>
                <w:b/>
                <w:bCs/>
                <w:color w:val="000000"/>
                <w:sz w:val="16"/>
                <w:szCs w:val="16"/>
                <w:lang w:eastAsia="en-GB"/>
              </w:rPr>
            </w:pPr>
            <w:r w:rsidRPr="00432C73">
              <w:rPr>
                <w:b/>
                <w:bCs/>
                <w:color w:val="000000"/>
                <w:sz w:val="16"/>
                <w:szCs w:val="16"/>
                <w:lang w:eastAsia="en-GB"/>
              </w:rPr>
              <w:t> </w:t>
            </w:r>
          </w:p>
        </w:tc>
        <w:tc>
          <w:tcPr>
            <w:tcW w:w="1380" w:type="dxa"/>
            <w:tcBorders>
              <w:top w:val="nil"/>
              <w:left w:val="nil"/>
              <w:bottom w:val="nil"/>
              <w:right w:val="nil"/>
            </w:tcBorders>
            <w:shd w:val="clear" w:color="000000" w:fill="FFFFFF"/>
            <w:noWrap/>
            <w:vAlign w:val="bottom"/>
            <w:hideMark/>
          </w:tcPr>
          <w:p w14:paraId="45B02363" w14:textId="77777777" w:rsidR="00432C73" w:rsidRPr="00432C73" w:rsidRDefault="00432C73" w:rsidP="00432C73">
            <w:pPr>
              <w:spacing w:after="0" w:line="240" w:lineRule="auto"/>
              <w:rPr>
                <w:sz w:val="16"/>
                <w:szCs w:val="16"/>
                <w:lang w:eastAsia="en-GB"/>
              </w:rPr>
            </w:pPr>
            <w:r w:rsidRPr="00432C73">
              <w:rPr>
                <w:sz w:val="16"/>
                <w:szCs w:val="16"/>
                <w:lang w:eastAsia="en-GB"/>
              </w:rPr>
              <w:t>Invoices</w:t>
            </w:r>
          </w:p>
        </w:tc>
        <w:tc>
          <w:tcPr>
            <w:tcW w:w="960" w:type="dxa"/>
            <w:tcBorders>
              <w:top w:val="nil"/>
              <w:left w:val="nil"/>
              <w:bottom w:val="nil"/>
              <w:right w:val="nil"/>
            </w:tcBorders>
            <w:shd w:val="clear" w:color="000000" w:fill="FFFFFF"/>
            <w:noWrap/>
            <w:vAlign w:val="bottom"/>
            <w:hideMark/>
          </w:tcPr>
          <w:p w14:paraId="114A744B"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637</w:t>
            </w:r>
          </w:p>
        </w:tc>
        <w:tc>
          <w:tcPr>
            <w:tcW w:w="920" w:type="dxa"/>
            <w:tcBorders>
              <w:top w:val="nil"/>
              <w:left w:val="nil"/>
              <w:bottom w:val="nil"/>
              <w:right w:val="nil"/>
            </w:tcBorders>
            <w:shd w:val="clear" w:color="000000" w:fill="FFFFFF"/>
            <w:noWrap/>
            <w:vAlign w:val="bottom"/>
            <w:hideMark/>
          </w:tcPr>
          <w:p w14:paraId="705C273A"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384</w:t>
            </w:r>
          </w:p>
        </w:tc>
        <w:tc>
          <w:tcPr>
            <w:tcW w:w="900" w:type="dxa"/>
            <w:tcBorders>
              <w:top w:val="nil"/>
              <w:left w:val="nil"/>
              <w:bottom w:val="nil"/>
              <w:right w:val="nil"/>
            </w:tcBorders>
            <w:shd w:val="clear" w:color="000000" w:fill="FFFFFF"/>
            <w:noWrap/>
            <w:vAlign w:val="bottom"/>
            <w:hideMark/>
          </w:tcPr>
          <w:p w14:paraId="1A59CEF0"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1,278</w:t>
            </w:r>
          </w:p>
        </w:tc>
        <w:tc>
          <w:tcPr>
            <w:tcW w:w="920" w:type="dxa"/>
            <w:tcBorders>
              <w:top w:val="nil"/>
              <w:left w:val="nil"/>
              <w:bottom w:val="nil"/>
              <w:right w:val="nil"/>
            </w:tcBorders>
            <w:shd w:val="clear" w:color="000000" w:fill="FFFFFF"/>
            <w:noWrap/>
            <w:vAlign w:val="bottom"/>
            <w:hideMark/>
          </w:tcPr>
          <w:p w14:paraId="02649233"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520</w:t>
            </w:r>
          </w:p>
        </w:tc>
        <w:tc>
          <w:tcPr>
            <w:tcW w:w="880" w:type="dxa"/>
            <w:tcBorders>
              <w:top w:val="nil"/>
              <w:left w:val="nil"/>
              <w:bottom w:val="nil"/>
              <w:right w:val="nil"/>
            </w:tcBorders>
            <w:shd w:val="clear" w:color="000000" w:fill="FFFFFF"/>
            <w:noWrap/>
            <w:vAlign w:val="bottom"/>
            <w:hideMark/>
          </w:tcPr>
          <w:p w14:paraId="67496D2A"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731</w:t>
            </w:r>
          </w:p>
        </w:tc>
        <w:tc>
          <w:tcPr>
            <w:tcW w:w="900" w:type="dxa"/>
            <w:tcBorders>
              <w:top w:val="nil"/>
              <w:left w:val="nil"/>
              <w:bottom w:val="nil"/>
              <w:right w:val="nil"/>
            </w:tcBorders>
            <w:shd w:val="clear" w:color="000000" w:fill="FFFFFF"/>
            <w:noWrap/>
            <w:vAlign w:val="bottom"/>
            <w:hideMark/>
          </w:tcPr>
          <w:p w14:paraId="06EDDEC6"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689</w:t>
            </w:r>
          </w:p>
        </w:tc>
        <w:tc>
          <w:tcPr>
            <w:tcW w:w="880" w:type="dxa"/>
            <w:tcBorders>
              <w:top w:val="nil"/>
              <w:left w:val="nil"/>
              <w:bottom w:val="nil"/>
              <w:right w:val="nil"/>
            </w:tcBorders>
            <w:shd w:val="clear" w:color="000000" w:fill="FFFFFF"/>
            <w:noWrap/>
            <w:vAlign w:val="bottom"/>
            <w:hideMark/>
          </w:tcPr>
          <w:p w14:paraId="6E87F55E"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570</w:t>
            </w:r>
          </w:p>
        </w:tc>
        <w:tc>
          <w:tcPr>
            <w:tcW w:w="920" w:type="dxa"/>
            <w:tcBorders>
              <w:top w:val="nil"/>
              <w:left w:val="nil"/>
              <w:bottom w:val="nil"/>
              <w:right w:val="nil"/>
            </w:tcBorders>
            <w:shd w:val="clear" w:color="000000" w:fill="FFFFFF"/>
            <w:noWrap/>
            <w:vAlign w:val="bottom"/>
            <w:hideMark/>
          </w:tcPr>
          <w:p w14:paraId="70DD1420"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90</w:t>
            </w:r>
          </w:p>
        </w:tc>
        <w:tc>
          <w:tcPr>
            <w:tcW w:w="880" w:type="dxa"/>
            <w:tcBorders>
              <w:top w:val="nil"/>
              <w:left w:val="nil"/>
              <w:bottom w:val="nil"/>
              <w:right w:val="nil"/>
            </w:tcBorders>
            <w:shd w:val="clear" w:color="000000" w:fill="FFFFFF"/>
            <w:noWrap/>
            <w:vAlign w:val="bottom"/>
            <w:hideMark/>
          </w:tcPr>
          <w:p w14:paraId="6C5A0EED"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432</w:t>
            </w:r>
          </w:p>
        </w:tc>
        <w:tc>
          <w:tcPr>
            <w:tcW w:w="880" w:type="dxa"/>
            <w:tcBorders>
              <w:top w:val="nil"/>
              <w:left w:val="nil"/>
              <w:bottom w:val="nil"/>
              <w:right w:val="nil"/>
            </w:tcBorders>
            <w:shd w:val="clear" w:color="000000" w:fill="FFFFFF"/>
            <w:noWrap/>
            <w:vAlign w:val="bottom"/>
            <w:hideMark/>
          </w:tcPr>
          <w:p w14:paraId="55FB8B50"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118</w:t>
            </w:r>
          </w:p>
        </w:tc>
        <w:tc>
          <w:tcPr>
            <w:tcW w:w="920" w:type="dxa"/>
            <w:tcBorders>
              <w:top w:val="nil"/>
              <w:left w:val="nil"/>
              <w:bottom w:val="nil"/>
              <w:right w:val="nil"/>
            </w:tcBorders>
            <w:shd w:val="clear" w:color="000000" w:fill="FFFFFF"/>
            <w:noWrap/>
            <w:vAlign w:val="bottom"/>
            <w:hideMark/>
          </w:tcPr>
          <w:p w14:paraId="2E1C6796"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328</w:t>
            </w:r>
          </w:p>
        </w:tc>
        <w:tc>
          <w:tcPr>
            <w:tcW w:w="880" w:type="dxa"/>
            <w:tcBorders>
              <w:top w:val="nil"/>
              <w:left w:val="nil"/>
              <w:bottom w:val="nil"/>
              <w:right w:val="nil"/>
            </w:tcBorders>
            <w:shd w:val="clear" w:color="000000" w:fill="FFFFFF"/>
            <w:noWrap/>
            <w:vAlign w:val="bottom"/>
            <w:hideMark/>
          </w:tcPr>
          <w:p w14:paraId="12BEB212"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141</w:t>
            </w:r>
          </w:p>
        </w:tc>
        <w:tc>
          <w:tcPr>
            <w:tcW w:w="1257" w:type="dxa"/>
            <w:tcBorders>
              <w:top w:val="nil"/>
              <w:left w:val="nil"/>
              <w:bottom w:val="nil"/>
              <w:right w:val="single" w:sz="4" w:space="0" w:color="auto"/>
            </w:tcBorders>
            <w:shd w:val="clear" w:color="000000" w:fill="FFFFFF"/>
            <w:noWrap/>
            <w:vAlign w:val="bottom"/>
            <w:hideMark/>
          </w:tcPr>
          <w:p w14:paraId="38C22871"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5,917</w:t>
            </w:r>
          </w:p>
        </w:tc>
      </w:tr>
      <w:tr w:rsidR="00432C73" w:rsidRPr="00432C73" w14:paraId="3627FDB0" w14:textId="77777777" w:rsidTr="005206E0">
        <w:trPr>
          <w:trHeight w:val="225"/>
        </w:trPr>
        <w:tc>
          <w:tcPr>
            <w:tcW w:w="1260" w:type="dxa"/>
            <w:tcBorders>
              <w:top w:val="nil"/>
              <w:left w:val="single" w:sz="4" w:space="0" w:color="auto"/>
              <w:bottom w:val="nil"/>
              <w:right w:val="nil"/>
            </w:tcBorders>
            <w:shd w:val="clear" w:color="000000" w:fill="FFFFFF"/>
            <w:noWrap/>
            <w:vAlign w:val="bottom"/>
            <w:hideMark/>
          </w:tcPr>
          <w:p w14:paraId="20ACEC5F" w14:textId="77777777" w:rsidR="00432C73" w:rsidRPr="00432C73" w:rsidRDefault="00432C73" w:rsidP="00432C73">
            <w:pPr>
              <w:spacing w:after="0" w:line="240" w:lineRule="auto"/>
              <w:rPr>
                <w:b/>
                <w:bCs/>
                <w:color w:val="000000"/>
                <w:sz w:val="16"/>
                <w:szCs w:val="16"/>
                <w:lang w:eastAsia="en-GB"/>
              </w:rPr>
            </w:pPr>
            <w:r w:rsidRPr="00432C73">
              <w:rPr>
                <w:b/>
                <w:bCs/>
                <w:color w:val="000000"/>
                <w:sz w:val="16"/>
                <w:szCs w:val="16"/>
                <w:lang w:eastAsia="en-GB"/>
              </w:rPr>
              <w:t> </w:t>
            </w:r>
          </w:p>
        </w:tc>
        <w:tc>
          <w:tcPr>
            <w:tcW w:w="1380" w:type="dxa"/>
            <w:tcBorders>
              <w:top w:val="nil"/>
              <w:left w:val="nil"/>
              <w:bottom w:val="nil"/>
              <w:right w:val="nil"/>
            </w:tcBorders>
            <w:shd w:val="clear" w:color="000000" w:fill="FFFFFF"/>
            <w:noWrap/>
            <w:vAlign w:val="bottom"/>
            <w:hideMark/>
          </w:tcPr>
          <w:p w14:paraId="24F4CDC8" w14:textId="77777777" w:rsidR="00432C73" w:rsidRPr="00432C73" w:rsidRDefault="00432C73" w:rsidP="00432C73">
            <w:pPr>
              <w:spacing w:after="0" w:line="240" w:lineRule="auto"/>
              <w:rPr>
                <w:sz w:val="16"/>
                <w:szCs w:val="16"/>
                <w:lang w:eastAsia="en-GB"/>
              </w:rPr>
            </w:pPr>
            <w:r w:rsidRPr="00432C73">
              <w:rPr>
                <w:sz w:val="16"/>
                <w:szCs w:val="16"/>
                <w:lang w:eastAsia="en-GB"/>
              </w:rPr>
              <w:t>Payments</w:t>
            </w:r>
          </w:p>
        </w:tc>
        <w:tc>
          <w:tcPr>
            <w:tcW w:w="960" w:type="dxa"/>
            <w:tcBorders>
              <w:top w:val="nil"/>
              <w:left w:val="nil"/>
              <w:bottom w:val="nil"/>
              <w:right w:val="nil"/>
            </w:tcBorders>
            <w:shd w:val="clear" w:color="000000" w:fill="FFFFFF"/>
            <w:noWrap/>
            <w:vAlign w:val="bottom"/>
            <w:hideMark/>
          </w:tcPr>
          <w:p w14:paraId="5E874041"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(997)</w:t>
            </w:r>
          </w:p>
        </w:tc>
        <w:tc>
          <w:tcPr>
            <w:tcW w:w="920" w:type="dxa"/>
            <w:tcBorders>
              <w:top w:val="nil"/>
              <w:left w:val="nil"/>
              <w:bottom w:val="nil"/>
              <w:right w:val="nil"/>
            </w:tcBorders>
            <w:shd w:val="clear" w:color="000000" w:fill="FFFFFF"/>
            <w:noWrap/>
            <w:vAlign w:val="bottom"/>
            <w:hideMark/>
          </w:tcPr>
          <w:p w14:paraId="05B8EC36"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0</w:t>
            </w:r>
          </w:p>
        </w:tc>
        <w:tc>
          <w:tcPr>
            <w:tcW w:w="900" w:type="dxa"/>
            <w:tcBorders>
              <w:top w:val="nil"/>
              <w:left w:val="nil"/>
              <w:bottom w:val="nil"/>
              <w:right w:val="nil"/>
            </w:tcBorders>
            <w:shd w:val="clear" w:color="000000" w:fill="FFFFFF"/>
            <w:noWrap/>
            <w:vAlign w:val="bottom"/>
            <w:hideMark/>
          </w:tcPr>
          <w:p w14:paraId="224A8AFE"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(331)</w:t>
            </w:r>
          </w:p>
        </w:tc>
        <w:tc>
          <w:tcPr>
            <w:tcW w:w="920" w:type="dxa"/>
            <w:tcBorders>
              <w:top w:val="nil"/>
              <w:left w:val="nil"/>
              <w:bottom w:val="nil"/>
              <w:right w:val="nil"/>
            </w:tcBorders>
            <w:shd w:val="clear" w:color="000000" w:fill="FFFFFF"/>
            <w:noWrap/>
            <w:vAlign w:val="bottom"/>
            <w:hideMark/>
          </w:tcPr>
          <w:p w14:paraId="20C2EEAB"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0</w:t>
            </w:r>
          </w:p>
        </w:tc>
        <w:tc>
          <w:tcPr>
            <w:tcW w:w="880" w:type="dxa"/>
            <w:tcBorders>
              <w:top w:val="nil"/>
              <w:left w:val="nil"/>
              <w:bottom w:val="nil"/>
              <w:right w:val="nil"/>
            </w:tcBorders>
            <w:shd w:val="clear" w:color="000000" w:fill="FFFFFF"/>
            <w:noWrap/>
            <w:vAlign w:val="bottom"/>
            <w:hideMark/>
          </w:tcPr>
          <w:p w14:paraId="714AD908"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(834)</w:t>
            </w:r>
          </w:p>
        </w:tc>
        <w:tc>
          <w:tcPr>
            <w:tcW w:w="900" w:type="dxa"/>
            <w:tcBorders>
              <w:top w:val="nil"/>
              <w:left w:val="nil"/>
              <w:bottom w:val="nil"/>
              <w:right w:val="nil"/>
            </w:tcBorders>
            <w:shd w:val="clear" w:color="000000" w:fill="FFFFFF"/>
            <w:noWrap/>
            <w:vAlign w:val="bottom"/>
            <w:hideMark/>
          </w:tcPr>
          <w:p w14:paraId="5F74E99C"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(2363)</w:t>
            </w:r>
          </w:p>
        </w:tc>
        <w:tc>
          <w:tcPr>
            <w:tcW w:w="880" w:type="dxa"/>
            <w:tcBorders>
              <w:top w:val="nil"/>
              <w:left w:val="nil"/>
              <w:bottom w:val="nil"/>
              <w:right w:val="nil"/>
            </w:tcBorders>
            <w:shd w:val="clear" w:color="000000" w:fill="FFFFFF"/>
            <w:noWrap/>
            <w:vAlign w:val="bottom"/>
            <w:hideMark/>
          </w:tcPr>
          <w:p w14:paraId="2333007B"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(486)</w:t>
            </w:r>
          </w:p>
        </w:tc>
        <w:tc>
          <w:tcPr>
            <w:tcW w:w="920" w:type="dxa"/>
            <w:tcBorders>
              <w:top w:val="nil"/>
              <w:left w:val="nil"/>
              <w:bottom w:val="nil"/>
              <w:right w:val="nil"/>
            </w:tcBorders>
            <w:shd w:val="clear" w:color="000000" w:fill="FFFFFF"/>
            <w:noWrap/>
            <w:vAlign w:val="bottom"/>
            <w:hideMark/>
          </w:tcPr>
          <w:p w14:paraId="76A63D5B"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(905)</w:t>
            </w:r>
          </w:p>
        </w:tc>
        <w:tc>
          <w:tcPr>
            <w:tcW w:w="880" w:type="dxa"/>
            <w:tcBorders>
              <w:top w:val="nil"/>
              <w:left w:val="nil"/>
              <w:bottom w:val="nil"/>
              <w:right w:val="nil"/>
            </w:tcBorders>
            <w:shd w:val="clear" w:color="000000" w:fill="FFFFFF"/>
            <w:noWrap/>
            <w:vAlign w:val="bottom"/>
            <w:hideMark/>
          </w:tcPr>
          <w:p w14:paraId="628CC19F"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(327)</w:t>
            </w:r>
          </w:p>
        </w:tc>
        <w:tc>
          <w:tcPr>
            <w:tcW w:w="880" w:type="dxa"/>
            <w:tcBorders>
              <w:top w:val="nil"/>
              <w:left w:val="nil"/>
              <w:bottom w:val="nil"/>
              <w:right w:val="nil"/>
            </w:tcBorders>
            <w:shd w:val="clear" w:color="000000" w:fill="FFFFFF"/>
            <w:noWrap/>
            <w:vAlign w:val="bottom"/>
            <w:hideMark/>
          </w:tcPr>
          <w:p w14:paraId="4CECCA73"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(224)</w:t>
            </w:r>
          </w:p>
        </w:tc>
        <w:tc>
          <w:tcPr>
            <w:tcW w:w="920" w:type="dxa"/>
            <w:tcBorders>
              <w:top w:val="nil"/>
              <w:left w:val="nil"/>
              <w:bottom w:val="nil"/>
              <w:right w:val="nil"/>
            </w:tcBorders>
            <w:shd w:val="clear" w:color="000000" w:fill="FFFFFF"/>
            <w:noWrap/>
            <w:vAlign w:val="bottom"/>
            <w:hideMark/>
          </w:tcPr>
          <w:p w14:paraId="331F87E0"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(363)</w:t>
            </w:r>
          </w:p>
        </w:tc>
        <w:tc>
          <w:tcPr>
            <w:tcW w:w="880" w:type="dxa"/>
            <w:tcBorders>
              <w:top w:val="nil"/>
              <w:left w:val="nil"/>
              <w:bottom w:val="nil"/>
              <w:right w:val="nil"/>
            </w:tcBorders>
            <w:shd w:val="clear" w:color="000000" w:fill="FFFFFF"/>
            <w:noWrap/>
            <w:vAlign w:val="bottom"/>
            <w:hideMark/>
          </w:tcPr>
          <w:p w14:paraId="5BAC7E01"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(582)</w:t>
            </w:r>
          </w:p>
        </w:tc>
        <w:tc>
          <w:tcPr>
            <w:tcW w:w="1257" w:type="dxa"/>
            <w:tcBorders>
              <w:top w:val="nil"/>
              <w:left w:val="nil"/>
              <w:bottom w:val="nil"/>
              <w:right w:val="single" w:sz="4" w:space="0" w:color="auto"/>
            </w:tcBorders>
            <w:shd w:val="clear" w:color="000000" w:fill="FFFFFF"/>
            <w:noWrap/>
            <w:vAlign w:val="bottom"/>
            <w:hideMark/>
          </w:tcPr>
          <w:p w14:paraId="036AE035"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(7410)</w:t>
            </w:r>
          </w:p>
        </w:tc>
      </w:tr>
      <w:tr w:rsidR="00432C73" w:rsidRPr="00432C73" w14:paraId="26347D12" w14:textId="77777777" w:rsidTr="005206E0">
        <w:trPr>
          <w:trHeight w:val="225"/>
        </w:trPr>
        <w:tc>
          <w:tcPr>
            <w:tcW w:w="1260" w:type="dxa"/>
            <w:tcBorders>
              <w:top w:val="nil"/>
              <w:left w:val="single" w:sz="4" w:space="0" w:color="auto"/>
              <w:bottom w:val="single" w:sz="4" w:space="0" w:color="auto"/>
              <w:right w:val="nil"/>
            </w:tcBorders>
            <w:shd w:val="clear" w:color="000000" w:fill="FFFFFF"/>
            <w:noWrap/>
            <w:vAlign w:val="bottom"/>
            <w:hideMark/>
          </w:tcPr>
          <w:p w14:paraId="373C17C3" w14:textId="77777777" w:rsidR="00432C73" w:rsidRPr="00432C73" w:rsidRDefault="00432C73" w:rsidP="00432C73">
            <w:pPr>
              <w:spacing w:after="0" w:line="240" w:lineRule="auto"/>
              <w:rPr>
                <w:b/>
                <w:bCs/>
                <w:color w:val="000000"/>
                <w:sz w:val="16"/>
                <w:szCs w:val="16"/>
                <w:lang w:eastAsia="en-GB"/>
              </w:rPr>
            </w:pPr>
            <w:r w:rsidRPr="00432C73">
              <w:rPr>
                <w:b/>
                <w:bCs/>
                <w:color w:val="000000"/>
                <w:sz w:val="16"/>
                <w:szCs w:val="16"/>
                <w:lang w:eastAsia="en-GB"/>
              </w:rPr>
              <w:t> </w:t>
            </w:r>
          </w:p>
        </w:tc>
        <w:tc>
          <w:tcPr>
            <w:tcW w:w="1380" w:type="dxa"/>
            <w:tcBorders>
              <w:top w:val="nil"/>
              <w:left w:val="nil"/>
              <w:bottom w:val="single" w:sz="4" w:space="0" w:color="auto"/>
              <w:right w:val="nil"/>
            </w:tcBorders>
            <w:shd w:val="clear" w:color="000000" w:fill="FFFFFF"/>
            <w:noWrap/>
            <w:vAlign w:val="bottom"/>
            <w:hideMark/>
          </w:tcPr>
          <w:p w14:paraId="176870FA" w14:textId="77777777" w:rsidR="00432C73" w:rsidRPr="00432C73" w:rsidRDefault="00432C73" w:rsidP="00432C73">
            <w:pPr>
              <w:spacing w:after="0" w:line="240" w:lineRule="auto"/>
              <w:rPr>
                <w:sz w:val="16"/>
                <w:szCs w:val="16"/>
                <w:lang w:eastAsia="en-GB"/>
              </w:rPr>
            </w:pPr>
            <w:r w:rsidRPr="00432C73">
              <w:rPr>
                <w:sz w:val="16"/>
                <w:szCs w:val="16"/>
                <w:lang w:eastAsia="en-GB"/>
              </w:rPr>
              <w:t>Closing Debtors</w:t>
            </w:r>
          </w:p>
        </w:tc>
        <w:tc>
          <w:tcPr>
            <w:tcW w:w="960" w:type="dxa"/>
            <w:tcBorders>
              <w:top w:val="nil"/>
              <w:left w:val="nil"/>
              <w:bottom w:val="single" w:sz="4" w:space="0" w:color="auto"/>
              <w:right w:val="nil"/>
            </w:tcBorders>
            <w:shd w:val="clear" w:color="000000" w:fill="FFFFFF"/>
            <w:noWrap/>
            <w:vAlign w:val="bottom"/>
            <w:hideMark/>
          </w:tcPr>
          <w:p w14:paraId="1CC2F832"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3,486</w:t>
            </w:r>
          </w:p>
        </w:tc>
        <w:tc>
          <w:tcPr>
            <w:tcW w:w="920" w:type="dxa"/>
            <w:tcBorders>
              <w:top w:val="nil"/>
              <w:left w:val="nil"/>
              <w:bottom w:val="single" w:sz="4" w:space="0" w:color="auto"/>
              <w:right w:val="nil"/>
            </w:tcBorders>
            <w:shd w:val="clear" w:color="000000" w:fill="FFFFFF"/>
            <w:noWrap/>
            <w:vAlign w:val="bottom"/>
            <w:hideMark/>
          </w:tcPr>
          <w:p w14:paraId="7EB853AD"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3,870</w:t>
            </w:r>
          </w:p>
        </w:tc>
        <w:tc>
          <w:tcPr>
            <w:tcW w:w="900" w:type="dxa"/>
            <w:tcBorders>
              <w:top w:val="nil"/>
              <w:left w:val="nil"/>
              <w:bottom w:val="single" w:sz="4" w:space="0" w:color="auto"/>
              <w:right w:val="nil"/>
            </w:tcBorders>
            <w:shd w:val="clear" w:color="000000" w:fill="FFFFFF"/>
            <w:noWrap/>
            <w:vAlign w:val="bottom"/>
            <w:hideMark/>
          </w:tcPr>
          <w:p w14:paraId="006F18ED"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4,851</w:t>
            </w:r>
          </w:p>
        </w:tc>
        <w:tc>
          <w:tcPr>
            <w:tcW w:w="920" w:type="dxa"/>
            <w:tcBorders>
              <w:top w:val="nil"/>
              <w:left w:val="nil"/>
              <w:bottom w:val="single" w:sz="4" w:space="0" w:color="auto"/>
              <w:right w:val="nil"/>
            </w:tcBorders>
            <w:shd w:val="clear" w:color="000000" w:fill="FFFFFF"/>
            <w:noWrap/>
            <w:vAlign w:val="bottom"/>
            <w:hideMark/>
          </w:tcPr>
          <w:p w14:paraId="411BDFFD"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5,371</w:t>
            </w:r>
          </w:p>
        </w:tc>
        <w:tc>
          <w:tcPr>
            <w:tcW w:w="880" w:type="dxa"/>
            <w:tcBorders>
              <w:top w:val="nil"/>
              <w:left w:val="nil"/>
              <w:bottom w:val="single" w:sz="4" w:space="0" w:color="auto"/>
              <w:right w:val="nil"/>
            </w:tcBorders>
            <w:shd w:val="clear" w:color="000000" w:fill="FFFFFF"/>
            <w:noWrap/>
            <w:vAlign w:val="bottom"/>
            <w:hideMark/>
          </w:tcPr>
          <w:p w14:paraId="656CC6F9"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5,268</w:t>
            </w:r>
          </w:p>
        </w:tc>
        <w:tc>
          <w:tcPr>
            <w:tcW w:w="900" w:type="dxa"/>
            <w:tcBorders>
              <w:top w:val="nil"/>
              <w:left w:val="nil"/>
              <w:bottom w:val="single" w:sz="4" w:space="0" w:color="auto"/>
              <w:right w:val="nil"/>
            </w:tcBorders>
            <w:shd w:val="clear" w:color="000000" w:fill="FFFFFF"/>
            <w:noWrap/>
            <w:vAlign w:val="bottom"/>
            <w:hideMark/>
          </w:tcPr>
          <w:p w14:paraId="191A3080"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3,595</w:t>
            </w:r>
          </w:p>
        </w:tc>
        <w:tc>
          <w:tcPr>
            <w:tcW w:w="880" w:type="dxa"/>
            <w:tcBorders>
              <w:top w:val="nil"/>
              <w:left w:val="nil"/>
              <w:bottom w:val="single" w:sz="4" w:space="0" w:color="auto"/>
              <w:right w:val="nil"/>
            </w:tcBorders>
            <w:shd w:val="clear" w:color="000000" w:fill="FFFFFF"/>
            <w:noWrap/>
            <w:vAlign w:val="bottom"/>
            <w:hideMark/>
          </w:tcPr>
          <w:p w14:paraId="1CC36383"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3,679</w:t>
            </w:r>
          </w:p>
        </w:tc>
        <w:tc>
          <w:tcPr>
            <w:tcW w:w="920" w:type="dxa"/>
            <w:tcBorders>
              <w:top w:val="nil"/>
              <w:left w:val="nil"/>
              <w:bottom w:val="single" w:sz="4" w:space="0" w:color="auto"/>
              <w:right w:val="nil"/>
            </w:tcBorders>
            <w:shd w:val="clear" w:color="000000" w:fill="FFFFFF"/>
            <w:noWrap/>
            <w:vAlign w:val="bottom"/>
            <w:hideMark/>
          </w:tcPr>
          <w:p w14:paraId="0ECD573C"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2,863</w:t>
            </w:r>
          </w:p>
        </w:tc>
        <w:tc>
          <w:tcPr>
            <w:tcW w:w="880" w:type="dxa"/>
            <w:tcBorders>
              <w:top w:val="nil"/>
              <w:left w:val="nil"/>
              <w:bottom w:val="single" w:sz="4" w:space="0" w:color="auto"/>
              <w:right w:val="nil"/>
            </w:tcBorders>
            <w:shd w:val="clear" w:color="000000" w:fill="FFFFFF"/>
            <w:noWrap/>
            <w:vAlign w:val="bottom"/>
            <w:hideMark/>
          </w:tcPr>
          <w:p w14:paraId="76984693"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2,958</w:t>
            </w:r>
          </w:p>
        </w:tc>
        <w:tc>
          <w:tcPr>
            <w:tcW w:w="880" w:type="dxa"/>
            <w:tcBorders>
              <w:top w:val="nil"/>
              <w:left w:val="nil"/>
              <w:bottom w:val="single" w:sz="4" w:space="0" w:color="auto"/>
              <w:right w:val="nil"/>
            </w:tcBorders>
            <w:shd w:val="clear" w:color="000000" w:fill="FFFFFF"/>
            <w:noWrap/>
            <w:vAlign w:val="bottom"/>
            <w:hideMark/>
          </w:tcPr>
          <w:p w14:paraId="4AD874EE"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2,821</w:t>
            </w:r>
          </w:p>
        </w:tc>
        <w:tc>
          <w:tcPr>
            <w:tcW w:w="920" w:type="dxa"/>
            <w:tcBorders>
              <w:top w:val="nil"/>
              <w:left w:val="nil"/>
              <w:bottom w:val="single" w:sz="4" w:space="0" w:color="auto"/>
              <w:right w:val="nil"/>
            </w:tcBorders>
            <w:shd w:val="clear" w:color="000000" w:fill="FFFFFF"/>
            <w:noWrap/>
            <w:vAlign w:val="bottom"/>
            <w:hideMark/>
          </w:tcPr>
          <w:p w14:paraId="6D0AAE4B"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2,785</w:t>
            </w:r>
          </w:p>
        </w:tc>
        <w:tc>
          <w:tcPr>
            <w:tcW w:w="880" w:type="dxa"/>
            <w:tcBorders>
              <w:top w:val="nil"/>
              <w:left w:val="nil"/>
              <w:bottom w:val="single" w:sz="4" w:space="0" w:color="auto"/>
              <w:right w:val="nil"/>
            </w:tcBorders>
            <w:shd w:val="clear" w:color="000000" w:fill="FFFFFF"/>
            <w:noWrap/>
            <w:vAlign w:val="bottom"/>
            <w:hideMark/>
          </w:tcPr>
          <w:p w14:paraId="4DCD594C"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2,358</w:t>
            </w:r>
          </w:p>
        </w:tc>
        <w:tc>
          <w:tcPr>
            <w:tcW w:w="1257" w:type="dxa"/>
            <w:tcBorders>
              <w:top w:val="nil"/>
              <w:left w:val="nil"/>
              <w:bottom w:val="single" w:sz="4" w:space="0" w:color="auto"/>
              <w:right w:val="single" w:sz="4" w:space="0" w:color="auto"/>
            </w:tcBorders>
            <w:shd w:val="clear" w:color="000000" w:fill="FFFFFF"/>
            <w:noWrap/>
            <w:vAlign w:val="bottom"/>
            <w:hideMark/>
          </w:tcPr>
          <w:p w14:paraId="59E7A1BC"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2,358</w:t>
            </w:r>
          </w:p>
        </w:tc>
      </w:tr>
      <w:tr w:rsidR="00432C73" w:rsidRPr="00432C73" w14:paraId="7E007329" w14:textId="77777777" w:rsidTr="005206E0">
        <w:trPr>
          <w:trHeight w:val="225"/>
        </w:trPr>
        <w:tc>
          <w:tcPr>
            <w:tcW w:w="1260" w:type="dxa"/>
            <w:tcBorders>
              <w:top w:val="nil"/>
              <w:left w:val="single" w:sz="4" w:space="0" w:color="auto"/>
              <w:bottom w:val="nil"/>
              <w:right w:val="nil"/>
            </w:tcBorders>
            <w:shd w:val="clear" w:color="000000" w:fill="FFFFFF"/>
            <w:noWrap/>
            <w:vAlign w:val="bottom"/>
            <w:hideMark/>
          </w:tcPr>
          <w:p w14:paraId="46AED1DD" w14:textId="77777777" w:rsidR="00432C73" w:rsidRPr="00432C73" w:rsidRDefault="00432C73" w:rsidP="00432C73">
            <w:pPr>
              <w:spacing w:after="0" w:line="240" w:lineRule="auto"/>
              <w:rPr>
                <w:b/>
                <w:bCs/>
                <w:color w:val="000000"/>
                <w:sz w:val="16"/>
                <w:szCs w:val="16"/>
                <w:lang w:eastAsia="en-GB"/>
              </w:rPr>
            </w:pPr>
            <w:r w:rsidRPr="00432C73">
              <w:rPr>
                <w:b/>
                <w:bCs/>
                <w:color w:val="000000"/>
                <w:sz w:val="16"/>
                <w:szCs w:val="16"/>
                <w:lang w:eastAsia="en-GB"/>
              </w:rPr>
              <w:t>UAE Military</w:t>
            </w:r>
          </w:p>
        </w:tc>
        <w:tc>
          <w:tcPr>
            <w:tcW w:w="1380" w:type="dxa"/>
            <w:tcBorders>
              <w:top w:val="nil"/>
              <w:left w:val="nil"/>
              <w:bottom w:val="nil"/>
              <w:right w:val="nil"/>
            </w:tcBorders>
            <w:shd w:val="clear" w:color="000000" w:fill="FFFFFF"/>
            <w:noWrap/>
            <w:vAlign w:val="bottom"/>
            <w:hideMark/>
          </w:tcPr>
          <w:p w14:paraId="3BB5D936" w14:textId="77777777" w:rsidR="00432C73" w:rsidRPr="00432C73" w:rsidRDefault="00432C73" w:rsidP="00432C73">
            <w:pPr>
              <w:spacing w:after="0" w:line="240" w:lineRule="auto"/>
              <w:rPr>
                <w:sz w:val="16"/>
                <w:szCs w:val="16"/>
                <w:lang w:eastAsia="en-GB"/>
              </w:rPr>
            </w:pPr>
            <w:r w:rsidRPr="00432C73">
              <w:rPr>
                <w:sz w:val="16"/>
                <w:szCs w:val="16"/>
                <w:lang w:eastAsia="en-GB"/>
              </w:rPr>
              <w:t>Opening Debtors</w:t>
            </w:r>
          </w:p>
        </w:tc>
        <w:tc>
          <w:tcPr>
            <w:tcW w:w="960" w:type="dxa"/>
            <w:tcBorders>
              <w:top w:val="nil"/>
              <w:left w:val="nil"/>
              <w:bottom w:val="nil"/>
              <w:right w:val="nil"/>
            </w:tcBorders>
            <w:shd w:val="clear" w:color="000000" w:fill="FFFFFF"/>
            <w:noWrap/>
            <w:vAlign w:val="bottom"/>
            <w:hideMark/>
          </w:tcPr>
          <w:p w14:paraId="4A5AC2DC"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102</w:t>
            </w:r>
          </w:p>
        </w:tc>
        <w:tc>
          <w:tcPr>
            <w:tcW w:w="920" w:type="dxa"/>
            <w:tcBorders>
              <w:top w:val="nil"/>
              <w:left w:val="nil"/>
              <w:bottom w:val="nil"/>
              <w:right w:val="nil"/>
            </w:tcBorders>
            <w:shd w:val="clear" w:color="000000" w:fill="FFFFFF"/>
            <w:noWrap/>
            <w:vAlign w:val="bottom"/>
            <w:hideMark/>
          </w:tcPr>
          <w:p w14:paraId="16F24E63"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105</w:t>
            </w:r>
          </w:p>
        </w:tc>
        <w:tc>
          <w:tcPr>
            <w:tcW w:w="900" w:type="dxa"/>
            <w:tcBorders>
              <w:top w:val="nil"/>
              <w:left w:val="nil"/>
              <w:bottom w:val="nil"/>
              <w:right w:val="nil"/>
            </w:tcBorders>
            <w:shd w:val="clear" w:color="000000" w:fill="FFFFFF"/>
            <w:noWrap/>
            <w:vAlign w:val="bottom"/>
            <w:hideMark/>
          </w:tcPr>
          <w:p w14:paraId="68B5E4FC"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104</w:t>
            </w:r>
          </w:p>
        </w:tc>
        <w:tc>
          <w:tcPr>
            <w:tcW w:w="920" w:type="dxa"/>
            <w:tcBorders>
              <w:top w:val="nil"/>
              <w:left w:val="nil"/>
              <w:bottom w:val="nil"/>
              <w:right w:val="nil"/>
            </w:tcBorders>
            <w:shd w:val="clear" w:color="000000" w:fill="FFFFFF"/>
            <w:noWrap/>
            <w:vAlign w:val="bottom"/>
            <w:hideMark/>
          </w:tcPr>
          <w:p w14:paraId="251E7A28"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128</w:t>
            </w:r>
          </w:p>
        </w:tc>
        <w:tc>
          <w:tcPr>
            <w:tcW w:w="880" w:type="dxa"/>
            <w:tcBorders>
              <w:top w:val="nil"/>
              <w:left w:val="nil"/>
              <w:bottom w:val="nil"/>
              <w:right w:val="nil"/>
            </w:tcBorders>
            <w:shd w:val="clear" w:color="000000" w:fill="FFFFFF"/>
            <w:noWrap/>
            <w:vAlign w:val="bottom"/>
            <w:hideMark/>
          </w:tcPr>
          <w:p w14:paraId="1D410582"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155</w:t>
            </w:r>
          </w:p>
        </w:tc>
        <w:tc>
          <w:tcPr>
            <w:tcW w:w="900" w:type="dxa"/>
            <w:tcBorders>
              <w:top w:val="nil"/>
              <w:left w:val="nil"/>
              <w:bottom w:val="nil"/>
              <w:right w:val="nil"/>
            </w:tcBorders>
            <w:shd w:val="clear" w:color="000000" w:fill="FFFFFF"/>
            <w:noWrap/>
            <w:vAlign w:val="bottom"/>
            <w:hideMark/>
          </w:tcPr>
          <w:p w14:paraId="627D0FCF"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152</w:t>
            </w:r>
          </w:p>
        </w:tc>
        <w:tc>
          <w:tcPr>
            <w:tcW w:w="880" w:type="dxa"/>
            <w:tcBorders>
              <w:top w:val="nil"/>
              <w:left w:val="nil"/>
              <w:bottom w:val="nil"/>
              <w:right w:val="nil"/>
            </w:tcBorders>
            <w:shd w:val="clear" w:color="000000" w:fill="FFFFFF"/>
            <w:noWrap/>
            <w:vAlign w:val="bottom"/>
            <w:hideMark/>
          </w:tcPr>
          <w:p w14:paraId="72D47241"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138</w:t>
            </w:r>
          </w:p>
        </w:tc>
        <w:tc>
          <w:tcPr>
            <w:tcW w:w="920" w:type="dxa"/>
            <w:tcBorders>
              <w:top w:val="nil"/>
              <w:left w:val="nil"/>
              <w:bottom w:val="nil"/>
              <w:right w:val="nil"/>
            </w:tcBorders>
            <w:shd w:val="clear" w:color="000000" w:fill="FFFFFF"/>
            <w:noWrap/>
            <w:vAlign w:val="bottom"/>
            <w:hideMark/>
          </w:tcPr>
          <w:p w14:paraId="5B3023B1"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116</w:t>
            </w:r>
          </w:p>
        </w:tc>
        <w:tc>
          <w:tcPr>
            <w:tcW w:w="880" w:type="dxa"/>
            <w:tcBorders>
              <w:top w:val="nil"/>
              <w:left w:val="nil"/>
              <w:bottom w:val="nil"/>
              <w:right w:val="nil"/>
            </w:tcBorders>
            <w:shd w:val="clear" w:color="000000" w:fill="FFFFFF"/>
            <w:noWrap/>
            <w:vAlign w:val="bottom"/>
            <w:hideMark/>
          </w:tcPr>
          <w:p w14:paraId="60D635B5"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116</w:t>
            </w:r>
          </w:p>
        </w:tc>
        <w:tc>
          <w:tcPr>
            <w:tcW w:w="880" w:type="dxa"/>
            <w:tcBorders>
              <w:top w:val="nil"/>
              <w:left w:val="nil"/>
              <w:bottom w:val="nil"/>
              <w:right w:val="nil"/>
            </w:tcBorders>
            <w:shd w:val="clear" w:color="000000" w:fill="FFFFFF"/>
            <w:noWrap/>
            <w:vAlign w:val="bottom"/>
            <w:hideMark/>
          </w:tcPr>
          <w:p w14:paraId="14D75CFD"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116</w:t>
            </w:r>
          </w:p>
        </w:tc>
        <w:tc>
          <w:tcPr>
            <w:tcW w:w="920" w:type="dxa"/>
            <w:tcBorders>
              <w:top w:val="nil"/>
              <w:left w:val="nil"/>
              <w:bottom w:val="nil"/>
              <w:right w:val="nil"/>
            </w:tcBorders>
            <w:shd w:val="clear" w:color="000000" w:fill="FFFFFF"/>
            <w:noWrap/>
            <w:vAlign w:val="bottom"/>
            <w:hideMark/>
          </w:tcPr>
          <w:p w14:paraId="25170F88"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115</w:t>
            </w:r>
          </w:p>
        </w:tc>
        <w:tc>
          <w:tcPr>
            <w:tcW w:w="880" w:type="dxa"/>
            <w:tcBorders>
              <w:top w:val="nil"/>
              <w:left w:val="nil"/>
              <w:bottom w:val="nil"/>
              <w:right w:val="nil"/>
            </w:tcBorders>
            <w:shd w:val="clear" w:color="000000" w:fill="FFFFFF"/>
            <w:noWrap/>
            <w:vAlign w:val="bottom"/>
            <w:hideMark/>
          </w:tcPr>
          <w:p w14:paraId="00BBA209"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115</w:t>
            </w:r>
          </w:p>
        </w:tc>
        <w:tc>
          <w:tcPr>
            <w:tcW w:w="1257" w:type="dxa"/>
            <w:tcBorders>
              <w:top w:val="nil"/>
              <w:left w:val="nil"/>
              <w:bottom w:val="nil"/>
              <w:right w:val="single" w:sz="4" w:space="0" w:color="auto"/>
            </w:tcBorders>
            <w:shd w:val="clear" w:color="000000" w:fill="FFFFFF"/>
            <w:noWrap/>
            <w:vAlign w:val="bottom"/>
            <w:hideMark/>
          </w:tcPr>
          <w:p w14:paraId="3943EDA4"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102</w:t>
            </w:r>
          </w:p>
        </w:tc>
      </w:tr>
      <w:tr w:rsidR="00432C73" w:rsidRPr="00432C73" w14:paraId="460B8401" w14:textId="77777777" w:rsidTr="005206E0">
        <w:trPr>
          <w:trHeight w:val="225"/>
        </w:trPr>
        <w:tc>
          <w:tcPr>
            <w:tcW w:w="1260" w:type="dxa"/>
            <w:tcBorders>
              <w:top w:val="nil"/>
              <w:left w:val="single" w:sz="4" w:space="0" w:color="auto"/>
              <w:bottom w:val="nil"/>
              <w:right w:val="nil"/>
            </w:tcBorders>
            <w:shd w:val="clear" w:color="000000" w:fill="FFFFFF"/>
            <w:noWrap/>
            <w:vAlign w:val="bottom"/>
            <w:hideMark/>
          </w:tcPr>
          <w:p w14:paraId="724ED53E" w14:textId="77777777" w:rsidR="00432C73" w:rsidRPr="00432C73" w:rsidRDefault="00432C73" w:rsidP="00432C73">
            <w:pPr>
              <w:spacing w:after="0" w:line="240" w:lineRule="auto"/>
              <w:rPr>
                <w:b/>
                <w:bCs/>
                <w:color w:val="000000"/>
                <w:sz w:val="16"/>
                <w:szCs w:val="16"/>
                <w:lang w:eastAsia="en-GB"/>
              </w:rPr>
            </w:pPr>
            <w:r w:rsidRPr="00432C73">
              <w:rPr>
                <w:b/>
                <w:bCs/>
                <w:color w:val="000000"/>
                <w:sz w:val="16"/>
                <w:szCs w:val="16"/>
                <w:lang w:eastAsia="en-GB"/>
              </w:rPr>
              <w:t> </w:t>
            </w:r>
          </w:p>
        </w:tc>
        <w:tc>
          <w:tcPr>
            <w:tcW w:w="1380" w:type="dxa"/>
            <w:tcBorders>
              <w:top w:val="nil"/>
              <w:left w:val="nil"/>
              <w:bottom w:val="nil"/>
              <w:right w:val="nil"/>
            </w:tcBorders>
            <w:shd w:val="clear" w:color="000000" w:fill="FFFFFF"/>
            <w:noWrap/>
            <w:vAlign w:val="bottom"/>
            <w:hideMark/>
          </w:tcPr>
          <w:p w14:paraId="55579459" w14:textId="77777777" w:rsidR="00432C73" w:rsidRPr="00432C73" w:rsidRDefault="00432C73" w:rsidP="00432C73">
            <w:pPr>
              <w:spacing w:after="0" w:line="240" w:lineRule="auto"/>
              <w:rPr>
                <w:sz w:val="16"/>
                <w:szCs w:val="16"/>
                <w:lang w:eastAsia="en-GB"/>
              </w:rPr>
            </w:pPr>
            <w:r w:rsidRPr="00432C73">
              <w:rPr>
                <w:sz w:val="16"/>
                <w:szCs w:val="16"/>
                <w:lang w:eastAsia="en-GB"/>
              </w:rPr>
              <w:t>Invoices</w:t>
            </w:r>
          </w:p>
        </w:tc>
        <w:tc>
          <w:tcPr>
            <w:tcW w:w="960" w:type="dxa"/>
            <w:tcBorders>
              <w:top w:val="nil"/>
              <w:left w:val="nil"/>
              <w:bottom w:val="nil"/>
              <w:right w:val="nil"/>
            </w:tcBorders>
            <w:shd w:val="clear" w:color="000000" w:fill="FFFFFF"/>
            <w:noWrap/>
            <w:vAlign w:val="bottom"/>
            <w:hideMark/>
          </w:tcPr>
          <w:p w14:paraId="1BE2F8AB"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4</w:t>
            </w:r>
          </w:p>
        </w:tc>
        <w:tc>
          <w:tcPr>
            <w:tcW w:w="920" w:type="dxa"/>
            <w:tcBorders>
              <w:top w:val="nil"/>
              <w:left w:val="nil"/>
              <w:bottom w:val="nil"/>
              <w:right w:val="nil"/>
            </w:tcBorders>
            <w:shd w:val="clear" w:color="000000" w:fill="FFFFFF"/>
            <w:noWrap/>
            <w:vAlign w:val="bottom"/>
            <w:hideMark/>
          </w:tcPr>
          <w:p w14:paraId="6D6A85E5"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w:t>
            </w:r>
          </w:p>
        </w:tc>
        <w:tc>
          <w:tcPr>
            <w:tcW w:w="900" w:type="dxa"/>
            <w:tcBorders>
              <w:top w:val="nil"/>
              <w:left w:val="nil"/>
              <w:bottom w:val="nil"/>
              <w:right w:val="nil"/>
            </w:tcBorders>
            <w:shd w:val="clear" w:color="000000" w:fill="FFFFFF"/>
            <w:noWrap/>
            <w:vAlign w:val="bottom"/>
            <w:hideMark/>
          </w:tcPr>
          <w:p w14:paraId="2A9F90DD"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24</w:t>
            </w:r>
          </w:p>
        </w:tc>
        <w:tc>
          <w:tcPr>
            <w:tcW w:w="920" w:type="dxa"/>
            <w:tcBorders>
              <w:top w:val="nil"/>
              <w:left w:val="nil"/>
              <w:bottom w:val="nil"/>
              <w:right w:val="nil"/>
            </w:tcBorders>
            <w:shd w:val="clear" w:color="000000" w:fill="FFFFFF"/>
            <w:noWrap/>
            <w:vAlign w:val="bottom"/>
            <w:hideMark/>
          </w:tcPr>
          <w:p w14:paraId="46852CB3"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30</w:t>
            </w:r>
          </w:p>
        </w:tc>
        <w:tc>
          <w:tcPr>
            <w:tcW w:w="880" w:type="dxa"/>
            <w:tcBorders>
              <w:top w:val="nil"/>
              <w:left w:val="nil"/>
              <w:bottom w:val="nil"/>
              <w:right w:val="nil"/>
            </w:tcBorders>
            <w:shd w:val="clear" w:color="000000" w:fill="FFFFFF"/>
            <w:noWrap/>
            <w:vAlign w:val="bottom"/>
            <w:hideMark/>
          </w:tcPr>
          <w:p w14:paraId="7E10B4A0"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w:t>
            </w:r>
          </w:p>
        </w:tc>
        <w:tc>
          <w:tcPr>
            <w:tcW w:w="900" w:type="dxa"/>
            <w:tcBorders>
              <w:top w:val="nil"/>
              <w:left w:val="nil"/>
              <w:bottom w:val="nil"/>
              <w:right w:val="nil"/>
            </w:tcBorders>
            <w:shd w:val="clear" w:color="000000" w:fill="FFFFFF"/>
            <w:noWrap/>
            <w:vAlign w:val="bottom"/>
            <w:hideMark/>
          </w:tcPr>
          <w:p w14:paraId="61EE6A04"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6</w:t>
            </w:r>
          </w:p>
        </w:tc>
        <w:tc>
          <w:tcPr>
            <w:tcW w:w="880" w:type="dxa"/>
            <w:tcBorders>
              <w:top w:val="nil"/>
              <w:left w:val="nil"/>
              <w:bottom w:val="nil"/>
              <w:right w:val="nil"/>
            </w:tcBorders>
            <w:shd w:val="clear" w:color="000000" w:fill="FFFFFF"/>
            <w:noWrap/>
            <w:vAlign w:val="bottom"/>
            <w:hideMark/>
          </w:tcPr>
          <w:p w14:paraId="1265FA17"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6</w:t>
            </w:r>
          </w:p>
        </w:tc>
        <w:tc>
          <w:tcPr>
            <w:tcW w:w="920" w:type="dxa"/>
            <w:tcBorders>
              <w:top w:val="nil"/>
              <w:left w:val="nil"/>
              <w:bottom w:val="nil"/>
              <w:right w:val="nil"/>
            </w:tcBorders>
            <w:shd w:val="clear" w:color="000000" w:fill="FFFFFF"/>
            <w:noWrap/>
            <w:vAlign w:val="bottom"/>
            <w:hideMark/>
          </w:tcPr>
          <w:p w14:paraId="6D3807A3"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w:t>
            </w:r>
          </w:p>
        </w:tc>
        <w:tc>
          <w:tcPr>
            <w:tcW w:w="880" w:type="dxa"/>
            <w:tcBorders>
              <w:top w:val="nil"/>
              <w:left w:val="nil"/>
              <w:bottom w:val="nil"/>
              <w:right w:val="nil"/>
            </w:tcBorders>
            <w:shd w:val="clear" w:color="000000" w:fill="FFFFFF"/>
            <w:noWrap/>
            <w:vAlign w:val="bottom"/>
            <w:hideMark/>
          </w:tcPr>
          <w:p w14:paraId="1989FCC4"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w:t>
            </w:r>
          </w:p>
        </w:tc>
        <w:tc>
          <w:tcPr>
            <w:tcW w:w="880" w:type="dxa"/>
            <w:tcBorders>
              <w:top w:val="nil"/>
              <w:left w:val="nil"/>
              <w:bottom w:val="nil"/>
              <w:right w:val="nil"/>
            </w:tcBorders>
            <w:shd w:val="clear" w:color="000000" w:fill="FFFFFF"/>
            <w:noWrap/>
            <w:vAlign w:val="bottom"/>
            <w:hideMark/>
          </w:tcPr>
          <w:p w14:paraId="5DB2AB1E"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0</w:t>
            </w:r>
          </w:p>
        </w:tc>
        <w:tc>
          <w:tcPr>
            <w:tcW w:w="920" w:type="dxa"/>
            <w:tcBorders>
              <w:top w:val="nil"/>
              <w:left w:val="nil"/>
              <w:bottom w:val="nil"/>
              <w:right w:val="nil"/>
            </w:tcBorders>
            <w:shd w:val="clear" w:color="000000" w:fill="FFFFFF"/>
            <w:noWrap/>
            <w:vAlign w:val="bottom"/>
            <w:hideMark/>
          </w:tcPr>
          <w:p w14:paraId="2A5B756B"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4</w:t>
            </w:r>
          </w:p>
        </w:tc>
        <w:tc>
          <w:tcPr>
            <w:tcW w:w="880" w:type="dxa"/>
            <w:tcBorders>
              <w:top w:val="nil"/>
              <w:left w:val="nil"/>
              <w:bottom w:val="nil"/>
              <w:right w:val="nil"/>
            </w:tcBorders>
            <w:shd w:val="clear" w:color="000000" w:fill="FFFFFF"/>
            <w:noWrap/>
            <w:vAlign w:val="bottom"/>
            <w:hideMark/>
          </w:tcPr>
          <w:p w14:paraId="11B44358"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2</w:t>
            </w:r>
          </w:p>
        </w:tc>
        <w:tc>
          <w:tcPr>
            <w:tcW w:w="1257" w:type="dxa"/>
            <w:tcBorders>
              <w:top w:val="nil"/>
              <w:left w:val="nil"/>
              <w:bottom w:val="nil"/>
              <w:right w:val="single" w:sz="4" w:space="0" w:color="auto"/>
            </w:tcBorders>
            <w:shd w:val="clear" w:color="000000" w:fill="FFFFFF"/>
            <w:noWrap/>
            <w:vAlign w:val="bottom"/>
            <w:hideMark/>
          </w:tcPr>
          <w:p w14:paraId="4B8846A8"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78</w:t>
            </w:r>
          </w:p>
        </w:tc>
      </w:tr>
      <w:tr w:rsidR="00432C73" w:rsidRPr="00432C73" w14:paraId="6AA114A1" w14:textId="77777777" w:rsidTr="005206E0">
        <w:trPr>
          <w:trHeight w:val="225"/>
        </w:trPr>
        <w:tc>
          <w:tcPr>
            <w:tcW w:w="1260" w:type="dxa"/>
            <w:tcBorders>
              <w:top w:val="nil"/>
              <w:left w:val="single" w:sz="4" w:space="0" w:color="auto"/>
              <w:bottom w:val="nil"/>
              <w:right w:val="nil"/>
            </w:tcBorders>
            <w:shd w:val="clear" w:color="000000" w:fill="FFFFFF"/>
            <w:noWrap/>
            <w:vAlign w:val="bottom"/>
            <w:hideMark/>
          </w:tcPr>
          <w:p w14:paraId="42D4068F" w14:textId="77777777" w:rsidR="00432C73" w:rsidRPr="00432C73" w:rsidRDefault="00432C73" w:rsidP="00432C73">
            <w:pPr>
              <w:spacing w:after="0" w:line="240" w:lineRule="auto"/>
              <w:rPr>
                <w:b/>
                <w:bCs/>
                <w:color w:val="000000"/>
                <w:sz w:val="16"/>
                <w:szCs w:val="16"/>
                <w:lang w:eastAsia="en-GB"/>
              </w:rPr>
            </w:pPr>
            <w:r w:rsidRPr="00432C73">
              <w:rPr>
                <w:b/>
                <w:bCs/>
                <w:color w:val="000000"/>
                <w:sz w:val="16"/>
                <w:szCs w:val="16"/>
                <w:lang w:eastAsia="en-GB"/>
              </w:rPr>
              <w:t> </w:t>
            </w:r>
          </w:p>
        </w:tc>
        <w:tc>
          <w:tcPr>
            <w:tcW w:w="1380" w:type="dxa"/>
            <w:tcBorders>
              <w:top w:val="nil"/>
              <w:left w:val="nil"/>
              <w:bottom w:val="nil"/>
              <w:right w:val="nil"/>
            </w:tcBorders>
            <w:shd w:val="clear" w:color="000000" w:fill="FFFFFF"/>
            <w:noWrap/>
            <w:vAlign w:val="bottom"/>
            <w:hideMark/>
          </w:tcPr>
          <w:p w14:paraId="5B0C80E0" w14:textId="77777777" w:rsidR="00432C73" w:rsidRPr="00432C73" w:rsidRDefault="00432C73" w:rsidP="00432C73">
            <w:pPr>
              <w:spacing w:after="0" w:line="240" w:lineRule="auto"/>
              <w:rPr>
                <w:sz w:val="16"/>
                <w:szCs w:val="16"/>
                <w:lang w:eastAsia="en-GB"/>
              </w:rPr>
            </w:pPr>
            <w:r w:rsidRPr="00432C73">
              <w:rPr>
                <w:sz w:val="16"/>
                <w:szCs w:val="16"/>
                <w:lang w:eastAsia="en-GB"/>
              </w:rPr>
              <w:t>Payments</w:t>
            </w:r>
          </w:p>
        </w:tc>
        <w:tc>
          <w:tcPr>
            <w:tcW w:w="960" w:type="dxa"/>
            <w:tcBorders>
              <w:top w:val="nil"/>
              <w:left w:val="nil"/>
              <w:bottom w:val="nil"/>
              <w:right w:val="nil"/>
            </w:tcBorders>
            <w:shd w:val="clear" w:color="000000" w:fill="FFFFFF"/>
            <w:noWrap/>
            <w:vAlign w:val="bottom"/>
            <w:hideMark/>
          </w:tcPr>
          <w:p w14:paraId="09B904EB"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w:t>
            </w:r>
          </w:p>
        </w:tc>
        <w:tc>
          <w:tcPr>
            <w:tcW w:w="920" w:type="dxa"/>
            <w:tcBorders>
              <w:top w:val="nil"/>
              <w:left w:val="nil"/>
              <w:bottom w:val="nil"/>
              <w:right w:val="nil"/>
            </w:tcBorders>
            <w:shd w:val="clear" w:color="000000" w:fill="FFFFFF"/>
            <w:noWrap/>
            <w:vAlign w:val="bottom"/>
            <w:hideMark/>
          </w:tcPr>
          <w:p w14:paraId="19FE624C"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(2)</w:t>
            </w:r>
          </w:p>
        </w:tc>
        <w:tc>
          <w:tcPr>
            <w:tcW w:w="900" w:type="dxa"/>
            <w:tcBorders>
              <w:top w:val="nil"/>
              <w:left w:val="nil"/>
              <w:bottom w:val="nil"/>
              <w:right w:val="nil"/>
            </w:tcBorders>
            <w:shd w:val="clear" w:color="000000" w:fill="FFFFFF"/>
            <w:noWrap/>
            <w:vAlign w:val="bottom"/>
            <w:hideMark/>
          </w:tcPr>
          <w:p w14:paraId="4F0DB68E"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0</w:t>
            </w:r>
          </w:p>
        </w:tc>
        <w:tc>
          <w:tcPr>
            <w:tcW w:w="920" w:type="dxa"/>
            <w:tcBorders>
              <w:top w:val="nil"/>
              <w:left w:val="nil"/>
              <w:bottom w:val="nil"/>
              <w:right w:val="nil"/>
            </w:tcBorders>
            <w:shd w:val="clear" w:color="000000" w:fill="FFFFFF"/>
            <w:noWrap/>
            <w:vAlign w:val="bottom"/>
            <w:hideMark/>
          </w:tcPr>
          <w:p w14:paraId="5C214139"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(3)</w:t>
            </w:r>
          </w:p>
        </w:tc>
        <w:tc>
          <w:tcPr>
            <w:tcW w:w="880" w:type="dxa"/>
            <w:tcBorders>
              <w:top w:val="nil"/>
              <w:left w:val="nil"/>
              <w:bottom w:val="nil"/>
              <w:right w:val="nil"/>
            </w:tcBorders>
            <w:shd w:val="clear" w:color="000000" w:fill="FFFFFF"/>
            <w:noWrap/>
            <w:vAlign w:val="bottom"/>
            <w:hideMark/>
          </w:tcPr>
          <w:p w14:paraId="02D0072B"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0</w:t>
            </w:r>
          </w:p>
        </w:tc>
        <w:tc>
          <w:tcPr>
            <w:tcW w:w="900" w:type="dxa"/>
            <w:tcBorders>
              <w:top w:val="nil"/>
              <w:left w:val="nil"/>
              <w:bottom w:val="nil"/>
              <w:right w:val="nil"/>
            </w:tcBorders>
            <w:shd w:val="clear" w:color="000000" w:fill="FFFFFF"/>
            <w:noWrap/>
            <w:vAlign w:val="bottom"/>
            <w:hideMark/>
          </w:tcPr>
          <w:p w14:paraId="01AFBFD6"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(20)</w:t>
            </w:r>
          </w:p>
        </w:tc>
        <w:tc>
          <w:tcPr>
            <w:tcW w:w="880" w:type="dxa"/>
            <w:tcBorders>
              <w:top w:val="nil"/>
              <w:left w:val="nil"/>
              <w:bottom w:val="nil"/>
              <w:right w:val="nil"/>
            </w:tcBorders>
            <w:shd w:val="clear" w:color="000000" w:fill="FFFFFF"/>
            <w:noWrap/>
            <w:vAlign w:val="bottom"/>
            <w:hideMark/>
          </w:tcPr>
          <w:p w14:paraId="4E5F2599"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(28)</w:t>
            </w:r>
          </w:p>
        </w:tc>
        <w:tc>
          <w:tcPr>
            <w:tcW w:w="920" w:type="dxa"/>
            <w:tcBorders>
              <w:top w:val="nil"/>
              <w:left w:val="nil"/>
              <w:bottom w:val="nil"/>
              <w:right w:val="nil"/>
            </w:tcBorders>
            <w:shd w:val="clear" w:color="000000" w:fill="FFFFFF"/>
            <w:noWrap/>
            <w:vAlign w:val="bottom"/>
            <w:hideMark/>
          </w:tcPr>
          <w:p w14:paraId="3332398B"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w:t>
            </w:r>
          </w:p>
        </w:tc>
        <w:tc>
          <w:tcPr>
            <w:tcW w:w="880" w:type="dxa"/>
            <w:tcBorders>
              <w:top w:val="nil"/>
              <w:left w:val="nil"/>
              <w:bottom w:val="nil"/>
              <w:right w:val="nil"/>
            </w:tcBorders>
            <w:shd w:val="clear" w:color="000000" w:fill="FFFFFF"/>
            <w:noWrap/>
            <w:vAlign w:val="bottom"/>
            <w:hideMark/>
          </w:tcPr>
          <w:p w14:paraId="28D648F6"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w:t>
            </w:r>
          </w:p>
        </w:tc>
        <w:tc>
          <w:tcPr>
            <w:tcW w:w="880" w:type="dxa"/>
            <w:tcBorders>
              <w:top w:val="nil"/>
              <w:left w:val="nil"/>
              <w:bottom w:val="nil"/>
              <w:right w:val="nil"/>
            </w:tcBorders>
            <w:shd w:val="clear" w:color="000000" w:fill="FFFFFF"/>
            <w:noWrap/>
            <w:vAlign w:val="bottom"/>
            <w:hideMark/>
          </w:tcPr>
          <w:p w14:paraId="3FB9D970"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w:t>
            </w:r>
          </w:p>
        </w:tc>
        <w:tc>
          <w:tcPr>
            <w:tcW w:w="920" w:type="dxa"/>
            <w:tcBorders>
              <w:top w:val="nil"/>
              <w:left w:val="nil"/>
              <w:bottom w:val="nil"/>
              <w:right w:val="nil"/>
            </w:tcBorders>
            <w:shd w:val="clear" w:color="000000" w:fill="FFFFFF"/>
            <w:noWrap/>
            <w:vAlign w:val="bottom"/>
            <w:hideMark/>
          </w:tcPr>
          <w:p w14:paraId="57D76FE2"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(4)</w:t>
            </w:r>
          </w:p>
        </w:tc>
        <w:tc>
          <w:tcPr>
            <w:tcW w:w="880" w:type="dxa"/>
            <w:tcBorders>
              <w:top w:val="nil"/>
              <w:left w:val="nil"/>
              <w:bottom w:val="nil"/>
              <w:right w:val="nil"/>
            </w:tcBorders>
            <w:shd w:val="clear" w:color="000000" w:fill="FFFFFF"/>
            <w:noWrap/>
            <w:vAlign w:val="bottom"/>
            <w:hideMark/>
          </w:tcPr>
          <w:p w14:paraId="7EEC14E7"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(9)</w:t>
            </w:r>
          </w:p>
        </w:tc>
        <w:tc>
          <w:tcPr>
            <w:tcW w:w="1257" w:type="dxa"/>
            <w:tcBorders>
              <w:top w:val="nil"/>
              <w:left w:val="nil"/>
              <w:bottom w:val="nil"/>
              <w:right w:val="single" w:sz="4" w:space="0" w:color="auto"/>
            </w:tcBorders>
            <w:shd w:val="clear" w:color="000000" w:fill="FFFFFF"/>
            <w:noWrap/>
            <w:vAlign w:val="bottom"/>
            <w:hideMark/>
          </w:tcPr>
          <w:p w14:paraId="41EAE006"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(67)</w:t>
            </w:r>
          </w:p>
        </w:tc>
      </w:tr>
      <w:tr w:rsidR="00432C73" w:rsidRPr="00432C73" w14:paraId="0E700415" w14:textId="77777777" w:rsidTr="005206E0">
        <w:trPr>
          <w:trHeight w:val="225"/>
        </w:trPr>
        <w:tc>
          <w:tcPr>
            <w:tcW w:w="1260" w:type="dxa"/>
            <w:tcBorders>
              <w:top w:val="nil"/>
              <w:left w:val="single" w:sz="4" w:space="0" w:color="auto"/>
              <w:bottom w:val="single" w:sz="4" w:space="0" w:color="auto"/>
              <w:right w:val="nil"/>
            </w:tcBorders>
            <w:shd w:val="clear" w:color="000000" w:fill="FFFFFF"/>
            <w:noWrap/>
            <w:vAlign w:val="bottom"/>
            <w:hideMark/>
          </w:tcPr>
          <w:p w14:paraId="40A14525" w14:textId="77777777" w:rsidR="00432C73" w:rsidRPr="00432C73" w:rsidRDefault="00432C73" w:rsidP="00432C73">
            <w:pPr>
              <w:spacing w:after="0" w:line="240" w:lineRule="auto"/>
              <w:rPr>
                <w:b/>
                <w:bCs/>
                <w:color w:val="000000"/>
                <w:sz w:val="16"/>
                <w:szCs w:val="16"/>
                <w:lang w:eastAsia="en-GB"/>
              </w:rPr>
            </w:pPr>
            <w:r w:rsidRPr="00432C73">
              <w:rPr>
                <w:b/>
                <w:bCs/>
                <w:color w:val="000000"/>
                <w:sz w:val="16"/>
                <w:szCs w:val="16"/>
                <w:lang w:eastAsia="en-GB"/>
              </w:rPr>
              <w:t> </w:t>
            </w:r>
          </w:p>
        </w:tc>
        <w:tc>
          <w:tcPr>
            <w:tcW w:w="1380" w:type="dxa"/>
            <w:tcBorders>
              <w:top w:val="nil"/>
              <w:left w:val="nil"/>
              <w:bottom w:val="single" w:sz="4" w:space="0" w:color="auto"/>
              <w:right w:val="nil"/>
            </w:tcBorders>
            <w:shd w:val="clear" w:color="000000" w:fill="FFFFFF"/>
            <w:noWrap/>
            <w:vAlign w:val="bottom"/>
            <w:hideMark/>
          </w:tcPr>
          <w:p w14:paraId="05E6826C" w14:textId="77777777" w:rsidR="00432C73" w:rsidRPr="00432C73" w:rsidRDefault="00432C73" w:rsidP="00432C73">
            <w:pPr>
              <w:spacing w:after="0" w:line="240" w:lineRule="auto"/>
              <w:rPr>
                <w:sz w:val="16"/>
                <w:szCs w:val="16"/>
                <w:lang w:eastAsia="en-GB"/>
              </w:rPr>
            </w:pPr>
            <w:r w:rsidRPr="00432C73">
              <w:rPr>
                <w:sz w:val="16"/>
                <w:szCs w:val="16"/>
                <w:lang w:eastAsia="en-GB"/>
              </w:rPr>
              <w:t>Closing Debtors</w:t>
            </w:r>
          </w:p>
        </w:tc>
        <w:tc>
          <w:tcPr>
            <w:tcW w:w="960" w:type="dxa"/>
            <w:tcBorders>
              <w:top w:val="nil"/>
              <w:left w:val="nil"/>
              <w:bottom w:val="single" w:sz="4" w:space="0" w:color="auto"/>
              <w:right w:val="nil"/>
            </w:tcBorders>
            <w:shd w:val="clear" w:color="000000" w:fill="FFFFFF"/>
            <w:noWrap/>
            <w:vAlign w:val="bottom"/>
            <w:hideMark/>
          </w:tcPr>
          <w:p w14:paraId="772624E0"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105</w:t>
            </w:r>
          </w:p>
        </w:tc>
        <w:tc>
          <w:tcPr>
            <w:tcW w:w="920" w:type="dxa"/>
            <w:tcBorders>
              <w:top w:val="nil"/>
              <w:left w:val="nil"/>
              <w:bottom w:val="single" w:sz="4" w:space="0" w:color="auto"/>
              <w:right w:val="nil"/>
            </w:tcBorders>
            <w:shd w:val="clear" w:color="000000" w:fill="FFFFFF"/>
            <w:noWrap/>
            <w:vAlign w:val="bottom"/>
            <w:hideMark/>
          </w:tcPr>
          <w:p w14:paraId="0D6195B2"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104</w:t>
            </w:r>
          </w:p>
        </w:tc>
        <w:tc>
          <w:tcPr>
            <w:tcW w:w="900" w:type="dxa"/>
            <w:tcBorders>
              <w:top w:val="nil"/>
              <w:left w:val="nil"/>
              <w:bottom w:val="single" w:sz="4" w:space="0" w:color="auto"/>
              <w:right w:val="nil"/>
            </w:tcBorders>
            <w:shd w:val="clear" w:color="000000" w:fill="FFFFFF"/>
            <w:noWrap/>
            <w:vAlign w:val="bottom"/>
            <w:hideMark/>
          </w:tcPr>
          <w:p w14:paraId="73B88BED"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128</w:t>
            </w:r>
          </w:p>
        </w:tc>
        <w:tc>
          <w:tcPr>
            <w:tcW w:w="920" w:type="dxa"/>
            <w:tcBorders>
              <w:top w:val="nil"/>
              <w:left w:val="nil"/>
              <w:bottom w:val="single" w:sz="4" w:space="0" w:color="auto"/>
              <w:right w:val="nil"/>
            </w:tcBorders>
            <w:shd w:val="clear" w:color="000000" w:fill="FFFFFF"/>
            <w:noWrap/>
            <w:vAlign w:val="bottom"/>
            <w:hideMark/>
          </w:tcPr>
          <w:p w14:paraId="09DD0121"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155</w:t>
            </w:r>
          </w:p>
        </w:tc>
        <w:tc>
          <w:tcPr>
            <w:tcW w:w="880" w:type="dxa"/>
            <w:tcBorders>
              <w:top w:val="nil"/>
              <w:left w:val="nil"/>
              <w:bottom w:val="single" w:sz="4" w:space="0" w:color="auto"/>
              <w:right w:val="nil"/>
            </w:tcBorders>
            <w:shd w:val="clear" w:color="000000" w:fill="FFFFFF"/>
            <w:noWrap/>
            <w:vAlign w:val="bottom"/>
            <w:hideMark/>
          </w:tcPr>
          <w:p w14:paraId="7E81168B"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152</w:t>
            </w:r>
          </w:p>
        </w:tc>
        <w:tc>
          <w:tcPr>
            <w:tcW w:w="900" w:type="dxa"/>
            <w:tcBorders>
              <w:top w:val="nil"/>
              <w:left w:val="nil"/>
              <w:bottom w:val="single" w:sz="4" w:space="0" w:color="auto"/>
              <w:right w:val="nil"/>
            </w:tcBorders>
            <w:shd w:val="clear" w:color="000000" w:fill="FFFFFF"/>
            <w:noWrap/>
            <w:vAlign w:val="bottom"/>
            <w:hideMark/>
          </w:tcPr>
          <w:p w14:paraId="394ABE3E"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138</w:t>
            </w:r>
          </w:p>
        </w:tc>
        <w:tc>
          <w:tcPr>
            <w:tcW w:w="880" w:type="dxa"/>
            <w:tcBorders>
              <w:top w:val="nil"/>
              <w:left w:val="nil"/>
              <w:bottom w:val="single" w:sz="4" w:space="0" w:color="auto"/>
              <w:right w:val="nil"/>
            </w:tcBorders>
            <w:shd w:val="clear" w:color="000000" w:fill="FFFFFF"/>
            <w:noWrap/>
            <w:vAlign w:val="bottom"/>
            <w:hideMark/>
          </w:tcPr>
          <w:p w14:paraId="03713229"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116</w:t>
            </w:r>
          </w:p>
        </w:tc>
        <w:tc>
          <w:tcPr>
            <w:tcW w:w="920" w:type="dxa"/>
            <w:tcBorders>
              <w:top w:val="nil"/>
              <w:left w:val="nil"/>
              <w:bottom w:val="single" w:sz="4" w:space="0" w:color="auto"/>
              <w:right w:val="nil"/>
            </w:tcBorders>
            <w:shd w:val="clear" w:color="000000" w:fill="FFFFFF"/>
            <w:noWrap/>
            <w:vAlign w:val="bottom"/>
            <w:hideMark/>
          </w:tcPr>
          <w:p w14:paraId="289DF602"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116</w:t>
            </w:r>
          </w:p>
        </w:tc>
        <w:tc>
          <w:tcPr>
            <w:tcW w:w="880" w:type="dxa"/>
            <w:tcBorders>
              <w:top w:val="nil"/>
              <w:left w:val="nil"/>
              <w:bottom w:val="single" w:sz="4" w:space="0" w:color="auto"/>
              <w:right w:val="nil"/>
            </w:tcBorders>
            <w:shd w:val="clear" w:color="000000" w:fill="FFFFFF"/>
            <w:noWrap/>
            <w:vAlign w:val="bottom"/>
            <w:hideMark/>
          </w:tcPr>
          <w:p w14:paraId="4EF37D86"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116</w:t>
            </w:r>
          </w:p>
        </w:tc>
        <w:tc>
          <w:tcPr>
            <w:tcW w:w="880" w:type="dxa"/>
            <w:tcBorders>
              <w:top w:val="nil"/>
              <w:left w:val="nil"/>
              <w:bottom w:val="single" w:sz="4" w:space="0" w:color="auto"/>
              <w:right w:val="nil"/>
            </w:tcBorders>
            <w:shd w:val="clear" w:color="000000" w:fill="FFFFFF"/>
            <w:noWrap/>
            <w:vAlign w:val="bottom"/>
            <w:hideMark/>
          </w:tcPr>
          <w:p w14:paraId="6E234C80"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115</w:t>
            </w:r>
          </w:p>
        </w:tc>
        <w:tc>
          <w:tcPr>
            <w:tcW w:w="920" w:type="dxa"/>
            <w:tcBorders>
              <w:top w:val="nil"/>
              <w:left w:val="nil"/>
              <w:bottom w:val="single" w:sz="4" w:space="0" w:color="auto"/>
              <w:right w:val="nil"/>
            </w:tcBorders>
            <w:shd w:val="clear" w:color="000000" w:fill="FFFFFF"/>
            <w:noWrap/>
            <w:vAlign w:val="bottom"/>
            <w:hideMark/>
          </w:tcPr>
          <w:p w14:paraId="5B3ACDFF"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115</w:t>
            </w:r>
          </w:p>
        </w:tc>
        <w:tc>
          <w:tcPr>
            <w:tcW w:w="880" w:type="dxa"/>
            <w:tcBorders>
              <w:top w:val="nil"/>
              <w:left w:val="nil"/>
              <w:bottom w:val="single" w:sz="4" w:space="0" w:color="auto"/>
              <w:right w:val="nil"/>
            </w:tcBorders>
            <w:shd w:val="clear" w:color="000000" w:fill="FFFFFF"/>
            <w:noWrap/>
            <w:vAlign w:val="bottom"/>
            <w:hideMark/>
          </w:tcPr>
          <w:p w14:paraId="79FDA772"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109</w:t>
            </w:r>
          </w:p>
        </w:tc>
        <w:tc>
          <w:tcPr>
            <w:tcW w:w="1257" w:type="dxa"/>
            <w:tcBorders>
              <w:top w:val="nil"/>
              <w:left w:val="nil"/>
              <w:bottom w:val="single" w:sz="4" w:space="0" w:color="auto"/>
              <w:right w:val="single" w:sz="4" w:space="0" w:color="auto"/>
            </w:tcBorders>
            <w:shd w:val="clear" w:color="000000" w:fill="FFFFFF"/>
            <w:noWrap/>
            <w:vAlign w:val="bottom"/>
            <w:hideMark/>
          </w:tcPr>
          <w:p w14:paraId="130DAB44"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109</w:t>
            </w:r>
          </w:p>
        </w:tc>
      </w:tr>
      <w:tr w:rsidR="00432C73" w:rsidRPr="00432C73" w14:paraId="31C645E0" w14:textId="77777777" w:rsidTr="005206E0">
        <w:trPr>
          <w:trHeight w:val="225"/>
        </w:trPr>
        <w:tc>
          <w:tcPr>
            <w:tcW w:w="1260" w:type="dxa"/>
            <w:tcBorders>
              <w:top w:val="nil"/>
              <w:left w:val="single" w:sz="4" w:space="0" w:color="auto"/>
              <w:bottom w:val="nil"/>
              <w:right w:val="nil"/>
            </w:tcBorders>
            <w:shd w:val="clear" w:color="000000" w:fill="FFFFFF"/>
            <w:noWrap/>
            <w:vAlign w:val="bottom"/>
            <w:hideMark/>
          </w:tcPr>
          <w:p w14:paraId="7A594BD4" w14:textId="77777777" w:rsidR="00432C73" w:rsidRPr="00432C73" w:rsidRDefault="00432C73" w:rsidP="00432C73">
            <w:pPr>
              <w:spacing w:after="0" w:line="240" w:lineRule="auto"/>
              <w:rPr>
                <w:b/>
                <w:bCs/>
                <w:color w:val="000000"/>
                <w:sz w:val="16"/>
                <w:szCs w:val="16"/>
                <w:lang w:eastAsia="en-GB"/>
              </w:rPr>
            </w:pPr>
            <w:r w:rsidRPr="00432C73">
              <w:rPr>
                <w:b/>
                <w:bCs/>
                <w:color w:val="000000"/>
                <w:sz w:val="16"/>
                <w:szCs w:val="16"/>
                <w:lang w:eastAsia="en-GB"/>
              </w:rPr>
              <w:t>UAE Medical</w:t>
            </w:r>
          </w:p>
        </w:tc>
        <w:tc>
          <w:tcPr>
            <w:tcW w:w="1380" w:type="dxa"/>
            <w:tcBorders>
              <w:top w:val="nil"/>
              <w:left w:val="nil"/>
              <w:bottom w:val="nil"/>
              <w:right w:val="nil"/>
            </w:tcBorders>
            <w:shd w:val="clear" w:color="000000" w:fill="FFFFFF"/>
            <w:noWrap/>
            <w:vAlign w:val="bottom"/>
            <w:hideMark/>
          </w:tcPr>
          <w:p w14:paraId="4EBEF8AE" w14:textId="77777777" w:rsidR="00432C73" w:rsidRPr="00432C73" w:rsidRDefault="00432C73" w:rsidP="00432C73">
            <w:pPr>
              <w:spacing w:after="0" w:line="240" w:lineRule="auto"/>
              <w:rPr>
                <w:sz w:val="16"/>
                <w:szCs w:val="16"/>
                <w:lang w:eastAsia="en-GB"/>
              </w:rPr>
            </w:pPr>
            <w:r w:rsidRPr="00432C73">
              <w:rPr>
                <w:sz w:val="16"/>
                <w:szCs w:val="16"/>
                <w:lang w:eastAsia="en-GB"/>
              </w:rPr>
              <w:t>Opening Debtors</w:t>
            </w:r>
          </w:p>
        </w:tc>
        <w:tc>
          <w:tcPr>
            <w:tcW w:w="960" w:type="dxa"/>
            <w:tcBorders>
              <w:top w:val="nil"/>
              <w:left w:val="nil"/>
              <w:bottom w:val="nil"/>
              <w:right w:val="nil"/>
            </w:tcBorders>
            <w:shd w:val="clear" w:color="000000" w:fill="FFFFFF"/>
            <w:noWrap/>
            <w:vAlign w:val="bottom"/>
            <w:hideMark/>
          </w:tcPr>
          <w:p w14:paraId="0F56FE03"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555</w:t>
            </w:r>
          </w:p>
        </w:tc>
        <w:tc>
          <w:tcPr>
            <w:tcW w:w="920" w:type="dxa"/>
            <w:tcBorders>
              <w:top w:val="nil"/>
              <w:left w:val="nil"/>
              <w:bottom w:val="nil"/>
              <w:right w:val="nil"/>
            </w:tcBorders>
            <w:shd w:val="clear" w:color="000000" w:fill="FFFFFF"/>
            <w:noWrap/>
            <w:vAlign w:val="bottom"/>
            <w:hideMark/>
          </w:tcPr>
          <w:p w14:paraId="175B618E"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565</w:t>
            </w:r>
          </w:p>
        </w:tc>
        <w:tc>
          <w:tcPr>
            <w:tcW w:w="900" w:type="dxa"/>
            <w:tcBorders>
              <w:top w:val="nil"/>
              <w:left w:val="nil"/>
              <w:bottom w:val="nil"/>
              <w:right w:val="nil"/>
            </w:tcBorders>
            <w:shd w:val="clear" w:color="000000" w:fill="FFFFFF"/>
            <w:noWrap/>
            <w:vAlign w:val="bottom"/>
            <w:hideMark/>
          </w:tcPr>
          <w:p w14:paraId="27BA3B5C"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610</w:t>
            </w:r>
          </w:p>
        </w:tc>
        <w:tc>
          <w:tcPr>
            <w:tcW w:w="920" w:type="dxa"/>
            <w:tcBorders>
              <w:top w:val="nil"/>
              <w:left w:val="nil"/>
              <w:bottom w:val="nil"/>
              <w:right w:val="nil"/>
            </w:tcBorders>
            <w:shd w:val="clear" w:color="000000" w:fill="FFFFFF"/>
            <w:noWrap/>
            <w:vAlign w:val="bottom"/>
            <w:hideMark/>
          </w:tcPr>
          <w:p w14:paraId="2E8409CC"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614</w:t>
            </w:r>
          </w:p>
        </w:tc>
        <w:tc>
          <w:tcPr>
            <w:tcW w:w="880" w:type="dxa"/>
            <w:tcBorders>
              <w:top w:val="nil"/>
              <w:left w:val="nil"/>
              <w:bottom w:val="nil"/>
              <w:right w:val="nil"/>
            </w:tcBorders>
            <w:shd w:val="clear" w:color="000000" w:fill="FFFFFF"/>
            <w:noWrap/>
            <w:vAlign w:val="bottom"/>
            <w:hideMark/>
          </w:tcPr>
          <w:p w14:paraId="1A7894A1"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514</w:t>
            </w:r>
          </w:p>
        </w:tc>
        <w:tc>
          <w:tcPr>
            <w:tcW w:w="900" w:type="dxa"/>
            <w:tcBorders>
              <w:top w:val="nil"/>
              <w:left w:val="nil"/>
              <w:bottom w:val="nil"/>
              <w:right w:val="nil"/>
            </w:tcBorders>
            <w:shd w:val="clear" w:color="000000" w:fill="FFFFFF"/>
            <w:noWrap/>
            <w:vAlign w:val="bottom"/>
            <w:hideMark/>
          </w:tcPr>
          <w:p w14:paraId="1EEA9CD6"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403</w:t>
            </w:r>
          </w:p>
        </w:tc>
        <w:tc>
          <w:tcPr>
            <w:tcW w:w="880" w:type="dxa"/>
            <w:tcBorders>
              <w:top w:val="nil"/>
              <w:left w:val="nil"/>
              <w:bottom w:val="nil"/>
              <w:right w:val="nil"/>
            </w:tcBorders>
            <w:shd w:val="clear" w:color="000000" w:fill="FFFFFF"/>
            <w:noWrap/>
            <w:vAlign w:val="bottom"/>
            <w:hideMark/>
          </w:tcPr>
          <w:p w14:paraId="298F87FF"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405</w:t>
            </w:r>
          </w:p>
        </w:tc>
        <w:tc>
          <w:tcPr>
            <w:tcW w:w="920" w:type="dxa"/>
            <w:tcBorders>
              <w:top w:val="nil"/>
              <w:left w:val="nil"/>
              <w:bottom w:val="nil"/>
              <w:right w:val="nil"/>
            </w:tcBorders>
            <w:shd w:val="clear" w:color="000000" w:fill="FFFFFF"/>
            <w:noWrap/>
            <w:vAlign w:val="bottom"/>
            <w:hideMark/>
          </w:tcPr>
          <w:p w14:paraId="02611BB4"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309</w:t>
            </w:r>
          </w:p>
        </w:tc>
        <w:tc>
          <w:tcPr>
            <w:tcW w:w="880" w:type="dxa"/>
            <w:tcBorders>
              <w:top w:val="nil"/>
              <w:left w:val="nil"/>
              <w:bottom w:val="nil"/>
              <w:right w:val="nil"/>
            </w:tcBorders>
            <w:shd w:val="clear" w:color="000000" w:fill="FFFFFF"/>
            <w:noWrap/>
            <w:vAlign w:val="bottom"/>
            <w:hideMark/>
          </w:tcPr>
          <w:p w14:paraId="6270889A"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309</w:t>
            </w:r>
          </w:p>
        </w:tc>
        <w:tc>
          <w:tcPr>
            <w:tcW w:w="880" w:type="dxa"/>
            <w:tcBorders>
              <w:top w:val="nil"/>
              <w:left w:val="nil"/>
              <w:bottom w:val="nil"/>
              <w:right w:val="nil"/>
            </w:tcBorders>
            <w:shd w:val="clear" w:color="000000" w:fill="FFFFFF"/>
            <w:noWrap/>
            <w:vAlign w:val="bottom"/>
            <w:hideMark/>
          </w:tcPr>
          <w:p w14:paraId="12356F57"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320</w:t>
            </w:r>
          </w:p>
        </w:tc>
        <w:tc>
          <w:tcPr>
            <w:tcW w:w="920" w:type="dxa"/>
            <w:tcBorders>
              <w:top w:val="nil"/>
              <w:left w:val="nil"/>
              <w:bottom w:val="nil"/>
              <w:right w:val="nil"/>
            </w:tcBorders>
            <w:shd w:val="clear" w:color="000000" w:fill="FFFFFF"/>
            <w:noWrap/>
            <w:vAlign w:val="bottom"/>
            <w:hideMark/>
          </w:tcPr>
          <w:p w14:paraId="26FD1C99"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328</w:t>
            </w:r>
          </w:p>
        </w:tc>
        <w:tc>
          <w:tcPr>
            <w:tcW w:w="880" w:type="dxa"/>
            <w:tcBorders>
              <w:top w:val="nil"/>
              <w:left w:val="nil"/>
              <w:bottom w:val="nil"/>
              <w:right w:val="nil"/>
            </w:tcBorders>
            <w:shd w:val="clear" w:color="000000" w:fill="FFFFFF"/>
            <w:noWrap/>
            <w:vAlign w:val="bottom"/>
            <w:hideMark/>
          </w:tcPr>
          <w:p w14:paraId="573ED1B4"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364</w:t>
            </w:r>
          </w:p>
        </w:tc>
        <w:tc>
          <w:tcPr>
            <w:tcW w:w="1257" w:type="dxa"/>
            <w:tcBorders>
              <w:top w:val="nil"/>
              <w:left w:val="nil"/>
              <w:bottom w:val="nil"/>
              <w:right w:val="single" w:sz="4" w:space="0" w:color="auto"/>
            </w:tcBorders>
            <w:shd w:val="clear" w:color="000000" w:fill="FFFFFF"/>
            <w:noWrap/>
            <w:vAlign w:val="bottom"/>
            <w:hideMark/>
          </w:tcPr>
          <w:p w14:paraId="1FFFC21B"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555</w:t>
            </w:r>
          </w:p>
        </w:tc>
      </w:tr>
      <w:tr w:rsidR="00432C73" w:rsidRPr="00432C73" w14:paraId="5A2A1997" w14:textId="77777777" w:rsidTr="005206E0">
        <w:trPr>
          <w:trHeight w:val="225"/>
        </w:trPr>
        <w:tc>
          <w:tcPr>
            <w:tcW w:w="1260" w:type="dxa"/>
            <w:tcBorders>
              <w:top w:val="nil"/>
              <w:left w:val="single" w:sz="4" w:space="0" w:color="auto"/>
              <w:bottom w:val="nil"/>
              <w:right w:val="nil"/>
            </w:tcBorders>
            <w:shd w:val="clear" w:color="000000" w:fill="FFFFFF"/>
            <w:noWrap/>
            <w:vAlign w:val="bottom"/>
            <w:hideMark/>
          </w:tcPr>
          <w:p w14:paraId="1E736178" w14:textId="77777777" w:rsidR="00432C73" w:rsidRPr="00432C73" w:rsidRDefault="00432C73" w:rsidP="00432C73">
            <w:pPr>
              <w:spacing w:after="0" w:line="240" w:lineRule="auto"/>
              <w:rPr>
                <w:b/>
                <w:bCs/>
                <w:color w:val="000000"/>
                <w:sz w:val="16"/>
                <w:szCs w:val="16"/>
                <w:lang w:eastAsia="en-GB"/>
              </w:rPr>
            </w:pPr>
            <w:r w:rsidRPr="00432C73">
              <w:rPr>
                <w:b/>
                <w:bCs/>
                <w:color w:val="000000"/>
                <w:sz w:val="16"/>
                <w:szCs w:val="16"/>
                <w:lang w:eastAsia="en-GB"/>
              </w:rPr>
              <w:t> </w:t>
            </w:r>
          </w:p>
        </w:tc>
        <w:tc>
          <w:tcPr>
            <w:tcW w:w="1380" w:type="dxa"/>
            <w:tcBorders>
              <w:top w:val="nil"/>
              <w:left w:val="nil"/>
              <w:bottom w:val="nil"/>
              <w:right w:val="nil"/>
            </w:tcBorders>
            <w:shd w:val="clear" w:color="000000" w:fill="FFFFFF"/>
            <w:noWrap/>
            <w:vAlign w:val="bottom"/>
            <w:hideMark/>
          </w:tcPr>
          <w:p w14:paraId="4B6EE9D2" w14:textId="77777777" w:rsidR="00432C73" w:rsidRPr="00432C73" w:rsidRDefault="00432C73" w:rsidP="00432C73">
            <w:pPr>
              <w:spacing w:after="0" w:line="240" w:lineRule="auto"/>
              <w:rPr>
                <w:sz w:val="16"/>
                <w:szCs w:val="16"/>
                <w:lang w:eastAsia="en-GB"/>
              </w:rPr>
            </w:pPr>
            <w:r w:rsidRPr="00432C73">
              <w:rPr>
                <w:sz w:val="16"/>
                <w:szCs w:val="16"/>
                <w:lang w:eastAsia="en-GB"/>
              </w:rPr>
              <w:t>Invoices</w:t>
            </w:r>
          </w:p>
        </w:tc>
        <w:tc>
          <w:tcPr>
            <w:tcW w:w="960" w:type="dxa"/>
            <w:tcBorders>
              <w:top w:val="nil"/>
              <w:left w:val="nil"/>
              <w:bottom w:val="nil"/>
              <w:right w:val="nil"/>
            </w:tcBorders>
            <w:shd w:val="clear" w:color="000000" w:fill="FFFFFF"/>
            <w:noWrap/>
            <w:vAlign w:val="bottom"/>
            <w:hideMark/>
          </w:tcPr>
          <w:p w14:paraId="790D0416"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10</w:t>
            </w:r>
          </w:p>
        </w:tc>
        <w:tc>
          <w:tcPr>
            <w:tcW w:w="920" w:type="dxa"/>
            <w:tcBorders>
              <w:top w:val="nil"/>
              <w:left w:val="nil"/>
              <w:bottom w:val="nil"/>
              <w:right w:val="nil"/>
            </w:tcBorders>
            <w:shd w:val="clear" w:color="000000" w:fill="FFFFFF"/>
            <w:noWrap/>
            <w:vAlign w:val="bottom"/>
            <w:hideMark/>
          </w:tcPr>
          <w:p w14:paraId="0362C84A"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129</w:t>
            </w:r>
          </w:p>
        </w:tc>
        <w:tc>
          <w:tcPr>
            <w:tcW w:w="900" w:type="dxa"/>
            <w:tcBorders>
              <w:top w:val="nil"/>
              <w:left w:val="nil"/>
              <w:bottom w:val="nil"/>
              <w:right w:val="nil"/>
            </w:tcBorders>
            <w:shd w:val="clear" w:color="000000" w:fill="FFFFFF"/>
            <w:noWrap/>
            <w:vAlign w:val="bottom"/>
            <w:hideMark/>
          </w:tcPr>
          <w:p w14:paraId="7FAA81F1"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4</w:t>
            </w:r>
          </w:p>
        </w:tc>
        <w:tc>
          <w:tcPr>
            <w:tcW w:w="920" w:type="dxa"/>
            <w:tcBorders>
              <w:top w:val="nil"/>
              <w:left w:val="nil"/>
              <w:bottom w:val="nil"/>
              <w:right w:val="nil"/>
            </w:tcBorders>
            <w:shd w:val="clear" w:color="000000" w:fill="FFFFFF"/>
            <w:noWrap/>
            <w:vAlign w:val="bottom"/>
            <w:hideMark/>
          </w:tcPr>
          <w:p w14:paraId="4B47EA32"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4</w:t>
            </w:r>
          </w:p>
        </w:tc>
        <w:tc>
          <w:tcPr>
            <w:tcW w:w="880" w:type="dxa"/>
            <w:tcBorders>
              <w:top w:val="nil"/>
              <w:left w:val="nil"/>
              <w:bottom w:val="nil"/>
              <w:right w:val="nil"/>
            </w:tcBorders>
            <w:shd w:val="clear" w:color="000000" w:fill="FFFFFF"/>
            <w:noWrap/>
            <w:vAlign w:val="bottom"/>
            <w:hideMark/>
          </w:tcPr>
          <w:p w14:paraId="20F04C85"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4</w:t>
            </w:r>
          </w:p>
        </w:tc>
        <w:tc>
          <w:tcPr>
            <w:tcW w:w="900" w:type="dxa"/>
            <w:tcBorders>
              <w:top w:val="nil"/>
              <w:left w:val="nil"/>
              <w:bottom w:val="nil"/>
              <w:right w:val="nil"/>
            </w:tcBorders>
            <w:shd w:val="clear" w:color="000000" w:fill="FFFFFF"/>
            <w:noWrap/>
            <w:vAlign w:val="bottom"/>
            <w:hideMark/>
          </w:tcPr>
          <w:p w14:paraId="3DB44150"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2</w:t>
            </w:r>
          </w:p>
        </w:tc>
        <w:tc>
          <w:tcPr>
            <w:tcW w:w="880" w:type="dxa"/>
            <w:tcBorders>
              <w:top w:val="nil"/>
              <w:left w:val="nil"/>
              <w:bottom w:val="nil"/>
              <w:right w:val="nil"/>
            </w:tcBorders>
            <w:shd w:val="clear" w:color="000000" w:fill="FFFFFF"/>
            <w:noWrap/>
            <w:vAlign w:val="bottom"/>
            <w:hideMark/>
          </w:tcPr>
          <w:p w14:paraId="473A8057"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8</w:t>
            </w:r>
          </w:p>
        </w:tc>
        <w:tc>
          <w:tcPr>
            <w:tcW w:w="920" w:type="dxa"/>
            <w:tcBorders>
              <w:top w:val="nil"/>
              <w:left w:val="nil"/>
              <w:bottom w:val="nil"/>
              <w:right w:val="nil"/>
            </w:tcBorders>
            <w:shd w:val="clear" w:color="000000" w:fill="FFFFFF"/>
            <w:noWrap/>
            <w:vAlign w:val="bottom"/>
            <w:hideMark/>
          </w:tcPr>
          <w:p w14:paraId="2A5A6120"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0</w:t>
            </w:r>
          </w:p>
        </w:tc>
        <w:tc>
          <w:tcPr>
            <w:tcW w:w="880" w:type="dxa"/>
            <w:tcBorders>
              <w:top w:val="nil"/>
              <w:left w:val="nil"/>
              <w:bottom w:val="nil"/>
              <w:right w:val="nil"/>
            </w:tcBorders>
            <w:shd w:val="clear" w:color="000000" w:fill="FFFFFF"/>
            <w:noWrap/>
            <w:vAlign w:val="bottom"/>
            <w:hideMark/>
          </w:tcPr>
          <w:p w14:paraId="684CC218"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11</w:t>
            </w:r>
          </w:p>
        </w:tc>
        <w:tc>
          <w:tcPr>
            <w:tcW w:w="880" w:type="dxa"/>
            <w:tcBorders>
              <w:top w:val="nil"/>
              <w:left w:val="nil"/>
              <w:bottom w:val="nil"/>
              <w:right w:val="nil"/>
            </w:tcBorders>
            <w:shd w:val="clear" w:color="000000" w:fill="FFFFFF"/>
            <w:noWrap/>
            <w:vAlign w:val="bottom"/>
            <w:hideMark/>
          </w:tcPr>
          <w:p w14:paraId="63BEF8C5"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9</w:t>
            </w:r>
          </w:p>
        </w:tc>
        <w:tc>
          <w:tcPr>
            <w:tcW w:w="920" w:type="dxa"/>
            <w:tcBorders>
              <w:top w:val="nil"/>
              <w:left w:val="nil"/>
              <w:bottom w:val="nil"/>
              <w:right w:val="nil"/>
            </w:tcBorders>
            <w:shd w:val="clear" w:color="000000" w:fill="FFFFFF"/>
            <w:noWrap/>
            <w:vAlign w:val="bottom"/>
            <w:hideMark/>
          </w:tcPr>
          <w:p w14:paraId="305A868B"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35</w:t>
            </w:r>
          </w:p>
        </w:tc>
        <w:tc>
          <w:tcPr>
            <w:tcW w:w="880" w:type="dxa"/>
            <w:tcBorders>
              <w:top w:val="nil"/>
              <w:left w:val="nil"/>
              <w:bottom w:val="nil"/>
              <w:right w:val="nil"/>
            </w:tcBorders>
            <w:shd w:val="clear" w:color="000000" w:fill="FFFFFF"/>
            <w:noWrap/>
            <w:vAlign w:val="bottom"/>
            <w:hideMark/>
          </w:tcPr>
          <w:p w14:paraId="1BE84855"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5</w:t>
            </w:r>
          </w:p>
        </w:tc>
        <w:tc>
          <w:tcPr>
            <w:tcW w:w="1257" w:type="dxa"/>
            <w:tcBorders>
              <w:top w:val="nil"/>
              <w:left w:val="nil"/>
              <w:bottom w:val="nil"/>
              <w:right w:val="single" w:sz="4" w:space="0" w:color="auto"/>
            </w:tcBorders>
            <w:shd w:val="clear" w:color="000000" w:fill="FFFFFF"/>
            <w:noWrap/>
            <w:vAlign w:val="bottom"/>
            <w:hideMark/>
          </w:tcPr>
          <w:p w14:paraId="392BA372"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220</w:t>
            </w:r>
          </w:p>
        </w:tc>
      </w:tr>
      <w:tr w:rsidR="00432C73" w:rsidRPr="00432C73" w14:paraId="71ECF062" w14:textId="77777777" w:rsidTr="005206E0">
        <w:trPr>
          <w:trHeight w:val="225"/>
        </w:trPr>
        <w:tc>
          <w:tcPr>
            <w:tcW w:w="1260" w:type="dxa"/>
            <w:tcBorders>
              <w:top w:val="nil"/>
              <w:left w:val="single" w:sz="4" w:space="0" w:color="auto"/>
              <w:bottom w:val="nil"/>
              <w:right w:val="nil"/>
            </w:tcBorders>
            <w:shd w:val="clear" w:color="000000" w:fill="FFFFFF"/>
            <w:noWrap/>
            <w:vAlign w:val="bottom"/>
            <w:hideMark/>
          </w:tcPr>
          <w:p w14:paraId="1C249325" w14:textId="77777777" w:rsidR="00432C73" w:rsidRPr="00432C73" w:rsidRDefault="00432C73" w:rsidP="00432C73">
            <w:pPr>
              <w:spacing w:after="0" w:line="240" w:lineRule="auto"/>
              <w:rPr>
                <w:b/>
                <w:bCs/>
                <w:color w:val="000000"/>
                <w:sz w:val="16"/>
                <w:szCs w:val="16"/>
                <w:lang w:eastAsia="en-GB"/>
              </w:rPr>
            </w:pPr>
            <w:r w:rsidRPr="00432C73">
              <w:rPr>
                <w:b/>
                <w:bCs/>
                <w:color w:val="000000"/>
                <w:sz w:val="16"/>
                <w:szCs w:val="16"/>
                <w:lang w:eastAsia="en-GB"/>
              </w:rPr>
              <w:t> </w:t>
            </w:r>
          </w:p>
        </w:tc>
        <w:tc>
          <w:tcPr>
            <w:tcW w:w="1380" w:type="dxa"/>
            <w:tcBorders>
              <w:top w:val="nil"/>
              <w:left w:val="nil"/>
              <w:bottom w:val="nil"/>
              <w:right w:val="nil"/>
            </w:tcBorders>
            <w:shd w:val="clear" w:color="000000" w:fill="FFFFFF"/>
            <w:noWrap/>
            <w:vAlign w:val="bottom"/>
            <w:hideMark/>
          </w:tcPr>
          <w:p w14:paraId="422DAB63" w14:textId="77777777" w:rsidR="00432C73" w:rsidRPr="00432C73" w:rsidRDefault="00432C73" w:rsidP="00432C73">
            <w:pPr>
              <w:spacing w:after="0" w:line="240" w:lineRule="auto"/>
              <w:rPr>
                <w:sz w:val="16"/>
                <w:szCs w:val="16"/>
                <w:lang w:eastAsia="en-GB"/>
              </w:rPr>
            </w:pPr>
            <w:r w:rsidRPr="00432C73">
              <w:rPr>
                <w:sz w:val="16"/>
                <w:szCs w:val="16"/>
                <w:lang w:eastAsia="en-GB"/>
              </w:rPr>
              <w:t>Payments</w:t>
            </w:r>
          </w:p>
        </w:tc>
        <w:tc>
          <w:tcPr>
            <w:tcW w:w="960" w:type="dxa"/>
            <w:tcBorders>
              <w:top w:val="nil"/>
              <w:left w:val="nil"/>
              <w:bottom w:val="nil"/>
              <w:right w:val="nil"/>
            </w:tcBorders>
            <w:shd w:val="clear" w:color="000000" w:fill="FFFFFF"/>
            <w:noWrap/>
            <w:vAlign w:val="bottom"/>
            <w:hideMark/>
          </w:tcPr>
          <w:p w14:paraId="6D14D09A"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w:t>
            </w:r>
          </w:p>
        </w:tc>
        <w:tc>
          <w:tcPr>
            <w:tcW w:w="920" w:type="dxa"/>
            <w:tcBorders>
              <w:top w:val="nil"/>
              <w:left w:val="nil"/>
              <w:bottom w:val="nil"/>
              <w:right w:val="nil"/>
            </w:tcBorders>
            <w:shd w:val="clear" w:color="000000" w:fill="FFFFFF"/>
            <w:noWrap/>
            <w:vAlign w:val="bottom"/>
            <w:hideMark/>
          </w:tcPr>
          <w:p w14:paraId="52938367"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(85)</w:t>
            </w:r>
          </w:p>
        </w:tc>
        <w:tc>
          <w:tcPr>
            <w:tcW w:w="900" w:type="dxa"/>
            <w:tcBorders>
              <w:top w:val="nil"/>
              <w:left w:val="nil"/>
              <w:bottom w:val="nil"/>
              <w:right w:val="nil"/>
            </w:tcBorders>
            <w:shd w:val="clear" w:color="000000" w:fill="FFFFFF"/>
            <w:noWrap/>
            <w:vAlign w:val="bottom"/>
            <w:hideMark/>
          </w:tcPr>
          <w:p w14:paraId="0024F025"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0</w:t>
            </w:r>
          </w:p>
        </w:tc>
        <w:tc>
          <w:tcPr>
            <w:tcW w:w="920" w:type="dxa"/>
            <w:tcBorders>
              <w:top w:val="nil"/>
              <w:left w:val="nil"/>
              <w:bottom w:val="nil"/>
              <w:right w:val="nil"/>
            </w:tcBorders>
            <w:shd w:val="clear" w:color="000000" w:fill="FFFFFF"/>
            <w:noWrap/>
            <w:vAlign w:val="bottom"/>
            <w:hideMark/>
          </w:tcPr>
          <w:p w14:paraId="241D7A3C"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(104)</w:t>
            </w:r>
          </w:p>
        </w:tc>
        <w:tc>
          <w:tcPr>
            <w:tcW w:w="880" w:type="dxa"/>
            <w:tcBorders>
              <w:top w:val="nil"/>
              <w:left w:val="nil"/>
              <w:bottom w:val="nil"/>
              <w:right w:val="nil"/>
            </w:tcBorders>
            <w:shd w:val="clear" w:color="000000" w:fill="FFFFFF"/>
            <w:noWrap/>
            <w:vAlign w:val="bottom"/>
            <w:hideMark/>
          </w:tcPr>
          <w:p w14:paraId="19E70B85"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(115)</w:t>
            </w:r>
          </w:p>
        </w:tc>
        <w:tc>
          <w:tcPr>
            <w:tcW w:w="900" w:type="dxa"/>
            <w:tcBorders>
              <w:top w:val="nil"/>
              <w:left w:val="nil"/>
              <w:bottom w:val="nil"/>
              <w:right w:val="nil"/>
            </w:tcBorders>
            <w:shd w:val="clear" w:color="000000" w:fill="FFFFFF"/>
            <w:noWrap/>
            <w:vAlign w:val="bottom"/>
            <w:hideMark/>
          </w:tcPr>
          <w:p w14:paraId="4FB1A643"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0</w:t>
            </w:r>
          </w:p>
        </w:tc>
        <w:tc>
          <w:tcPr>
            <w:tcW w:w="880" w:type="dxa"/>
            <w:tcBorders>
              <w:top w:val="nil"/>
              <w:left w:val="nil"/>
              <w:bottom w:val="nil"/>
              <w:right w:val="nil"/>
            </w:tcBorders>
            <w:shd w:val="clear" w:color="000000" w:fill="FFFFFF"/>
            <w:noWrap/>
            <w:vAlign w:val="bottom"/>
            <w:hideMark/>
          </w:tcPr>
          <w:p w14:paraId="6D4433FA"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(105)</w:t>
            </w:r>
          </w:p>
        </w:tc>
        <w:tc>
          <w:tcPr>
            <w:tcW w:w="920" w:type="dxa"/>
            <w:tcBorders>
              <w:top w:val="nil"/>
              <w:left w:val="nil"/>
              <w:bottom w:val="nil"/>
              <w:right w:val="nil"/>
            </w:tcBorders>
            <w:shd w:val="clear" w:color="000000" w:fill="FFFFFF"/>
            <w:noWrap/>
            <w:vAlign w:val="bottom"/>
            <w:hideMark/>
          </w:tcPr>
          <w:p w14:paraId="6C8ADD47"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0</w:t>
            </w:r>
          </w:p>
        </w:tc>
        <w:tc>
          <w:tcPr>
            <w:tcW w:w="880" w:type="dxa"/>
            <w:tcBorders>
              <w:top w:val="nil"/>
              <w:left w:val="nil"/>
              <w:bottom w:val="nil"/>
              <w:right w:val="nil"/>
            </w:tcBorders>
            <w:shd w:val="clear" w:color="000000" w:fill="FFFFFF"/>
            <w:noWrap/>
            <w:vAlign w:val="bottom"/>
            <w:hideMark/>
          </w:tcPr>
          <w:p w14:paraId="2657D685"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0</w:t>
            </w:r>
          </w:p>
        </w:tc>
        <w:tc>
          <w:tcPr>
            <w:tcW w:w="880" w:type="dxa"/>
            <w:tcBorders>
              <w:top w:val="nil"/>
              <w:left w:val="nil"/>
              <w:bottom w:val="nil"/>
              <w:right w:val="nil"/>
            </w:tcBorders>
            <w:shd w:val="clear" w:color="000000" w:fill="FFFFFF"/>
            <w:noWrap/>
            <w:vAlign w:val="bottom"/>
            <w:hideMark/>
          </w:tcPr>
          <w:p w14:paraId="12CD6B2F"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0</w:t>
            </w:r>
          </w:p>
        </w:tc>
        <w:tc>
          <w:tcPr>
            <w:tcW w:w="920" w:type="dxa"/>
            <w:tcBorders>
              <w:top w:val="nil"/>
              <w:left w:val="nil"/>
              <w:bottom w:val="nil"/>
              <w:right w:val="nil"/>
            </w:tcBorders>
            <w:shd w:val="clear" w:color="000000" w:fill="FFFFFF"/>
            <w:noWrap/>
            <w:vAlign w:val="bottom"/>
            <w:hideMark/>
          </w:tcPr>
          <w:p w14:paraId="6D95ACC2"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0</w:t>
            </w:r>
          </w:p>
        </w:tc>
        <w:tc>
          <w:tcPr>
            <w:tcW w:w="880" w:type="dxa"/>
            <w:tcBorders>
              <w:top w:val="nil"/>
              <w:left w:val="nil"/>
              <w:bottom w:val="nil"/>
              <w:right w:val="nil"/>
            </w:tcBorders>
            <w:shd w:val="clear" w:color="000000" w:fill="FFFFFF"/>
            <w:noWrap/>
            <w:vAlign w:val="bottom"/>
            <w:hideMark/>
          </w:tcPr>
          <w:p w14:paraId="221181A5"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0</w:t>
            </w:r>
          </w:p>
        </w:tc>
        <w:tc>
          <w:tcPr>
            <w:tcW w:w="1257" w:type="dxa"/>
            <w:tcBorders>
              <w:top w:val="nil"/>
              <w:left w:val="nil"/>
              <w:bottom w:val="nil"/>
              <w:right w:val="single" w:sz="4" w:space="0" w:color="auto"/>
            </w:tcBorders>
            <w:shd w:val="clear" w:color="000000" w:fill="FFFFFF"/>
            <w:noWrap/>
            <w:vAlign w:val="bottom"/>
            <w:hideMark/>
          </w:tcPr>
          <w:p w14:paraId="14A75177"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(409)</w:t>
            </w:r>
          </w:p>
        </w:tc>
      </w:tr>
      <w:tr w:rsidR="00432C73" w:rsidRPr="00432C73" w14:paraId="429AE117" w14:textId="77777777" w:rsidTr="005206E0">
        <w:trPr>
          <w:trHeight w:val="225"/>
        </w:trPr>
        <w:tc>
          <w:tcPr>
            <w:tcW w:w="1260" w:type="dxa"/>
            <w:tcBorders>
              <w:top w:val="nil"/>
              <w:left w:val="single" w:sz="4" w:space="0" w:color="auto"/>
              <w:bottom w:val="single" w:sz="4" w:space="0" w:color="auto"/>
              <w:right w:val="nil"/>
            </w:tcBorders>
            <w:shd w:val="clear" w:color="000000" w:fill="FFFFFF"/>
            <w:noWrap/>
            <w:vAlign w:val="bottom"/>
            <w:hideMark/>
          </w:tcPr>
          <w:p w14:paraId="29CEDB9C" w14:textId="77777777" w:rsidR="00432C73" w:rsidRPr="00432C73" w:rsidRDefault="00432C73" w:rsidP="00432C73">
            <w:pPr>
              <w:spacing w:after="0" w:line="240" w:lineRule="auto"/>
              <w:rPr>
                <w:b/>
                <w:bCs/>
                <w:color w:val="000000"/>
                <w:sz w:val="16"/>
                <w:szCs w:val="16"/>
                <w:lang w:eastAsia="en-GB"/>
              </w:rPr>
            </w:pPr>
            <w:r w:rsidRPr="00432C73">
              <w:rPr>
                <w:b/>
                <w:bCs/>
                <w:color w:val="000000"/>
                <w:sz w:val="16"/>
                <w:szCs w:val="16"/>
                <w:lang w:eastAsia="en-GB"/>
              </w:rPr>
              <w:t> </w:t>
            </w:r>
          </w:p>
        </w:tc>
        <w:tc>
          <w:tcPr>
            <w:tcW w:w="1380" w:type="dxa"/>
            <w:tcBorders>
              <w:top w:val="nil"/>
              <w:left w:val="nil"/>
              <w:bottom w:val="single" w:sz="4" w:space="0" w:color="auto"/>
              <w:right w:val="nil"/>
            </w:tcBorders>
            <w:shd w:val="clear" w:color="000000" w:fill="FFFFFF"/>
            <w:noWrap/>
            <w:vAlign w:val="bottom"/>
            <w:hideMark/>
          </w:tcPr>
          <w:p w14:paraId="7FCBBAD2" w14:textId="77777777" w:rsidR="00432C73" w:rsidRPr="00432C73" w:rsidRDefault="00432C73" w:rsidP="00432C73">
            <w:pPr>
              <w:spacing w:after="0" w:line="240" w:lineRule="auto"/>
              <w:rPr>
                <w:sz w:val="16"/>
                <w:szCs w:val="16"/>
                <w:lang w:eastAsia="en-GB"/>
              </w:rPr>
            </w:pPr>
            <w:r w:rsidRPr="00432C73">
              <w:rPr>
                <w:sz w:val="16"/>
                <w:szCs w:val="16"/>
                <w:lang w:eastAsia="en-GB"/>
              </w:rPr>
              <w:t>Closing Debtors</w:t>
            </w:r>
          </w:p>
        </w:tc>
        <w:tc>
          <w:tcPr>
            <w:tcW w:w="960" w:type="dxa"/>
            <w:tcBorders>
              <w:top w:val="nil"/>
              <w:left w:val="nil"/>
              <w:bottom w:val="single" w:sz="4" w:space="0" w:color="auto"/>
              <w:right w:val="nil"/>
            </w:tcBorders>
            <w:shd w:val="clear" w:color="000000" w:fill="FFFFFF"/>
            <w:noWrap/>
            <w:vAlign w:val="bottom"/>
            <w:hideMark/>
          </w:tcPr>
          <w:p w14:paraId="45CB119C"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565</w:t>
            </w:r>
          </w:p>
        </w:tc>
        <w:tc>
          <w:tcPr>
            <w:tcW w:w="920" w:type="dxa"/>
            <w:tcBorders>
              <w:top w:val="nil"/>
              <w:left w:val="nil"/>
              <w:bottom w:val="single" w:sz="4" w:space="0" w:color="auto"/>
              <w:right w:val="nil"/>
            </w:tcBorders>
            <w:shd w:val="clear" w:color="000000" w:fill="FFFFFF"/>
            <w:noWrap/>
            <w:vAlign w:val="bottom"/>
            <w:hideMark/>
          </w:tcPr>
          <w:p w14:paraId="1A6F6950"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610</w:t>
            </w:r>
          </w:p>
        </w:tc>
        <w:tc>
          <w:tcPr>
            <w:tcW w:w="900" w:type="dxa"/>
            <w:tcBorders>
              <w:top w:val="nil"/>
              <w:left w:val="nil"/>
              <w:bottom w:val="single" w:sz="4" w:space="0" w:color="auto"/>
              <w:right w:val="nil"/>
            </w:tcBorders>
            <w:shd w:val="clear" w:color="000000" w:fill="FFFFFF"/>
            <w:noWrap/>
            <w:vAlign w:val="bottom"/>
            <w:hideMark/>
          </w:tcPr>
          <w:p w14:paraId="3F27DB29"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614</w:t>
            </w:r>
          </w:p>
        </w:tc>
        <w:tc>
          <w:tcPr>
            <w:tcW w:w="920" w:type="dxa"/>
            <w:tcBorders>
              <w:top w:val="nil"/>
              <w:left w:val="nil"/>
              <w:bottom w:val="single" w:sz="4" w:space="0" w:color="auto"/>
              <w:right w:val="nil"/>
            </w:tcBorders>
            <w:shd w:val="clear" w:color="000000" w:fill="FFFFFF"/>
            <w:noWrap/>
            <w:vAlign w:val="bottom"/>
            <w:hideMark/>
          </w:tcPr>
          <w:p w14:paraId="770F771A"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514</w:t>
            </w:r>
          </w:p>
        </w:tc>
        <w:tc>
          <w:tcPr>
            <w:tcW w:w="880" w:type="dxa"/>
            <w:tcBorders>
              <w:top w:val="nil"/>
              <w:left w:val="nil"/>
              <w:bottom w:val="single" w:sz="4" w:space="0" w:color="auto"/>
              <w:right w:val="nil"/>
            </w:tcBorders>
            <w:shd w:val="clear" w:color="000000" w:fill="FFFFFF"/>
            <w:noWrap/>
            <w:vAlign w:val="bottom"/>
            <w:hideMark/>
          </w:tcPr>
          <w:p w14:paraId="27591E07"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403</w:t>
            </w:r>
          </w:p>
        </w:tc>
        <w:tc>
          <w:tcPr>
            <w:tcW w:w="900" w:type="dxa"/>
            <w:tcBorders>
              <w:top w:val="nil"/>
              <w:left w:val="nil"/>
              <w:bottom w:val="single" w:sz="4" w:space="0" w:color="auto"/>
              <w:right w:val="nil"/>
            </w:tcBorders>
            <w:shd w:val="clear" w:color="000000" w:fill="FFFFFF"/>
            <w:noWrap/>
            <w:vAlign w:val="bottom"/>
            <w:hideMark/>
          </w:tcPr>
          <w:p w14:paraId="20E1B681"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405</w:t>
            </w:r>
          </w:p>
        </w:tc>
        <w:tc>
          <w:tcPr>
            <w:tcW w:w="880" w:type="dxa"/>
            <w:tcBorders>
              <w:top w:val="nil"/>
              <w:left w:val="nil"/>
              <w:bottom w:val="single" w:sz="4" w:space="0" w:color="auto"/>
              <w:right w:val="nil"/>
            </w:tcBorders>
            <w:shd w:val="clear" w:color="000000" w:fill="FFFFFF"/>
            <w:noWrap/>
            <w:vAlign w:val="bottom"/>
            <w:hideMark/>
          </w:tcPr>
          <w:p w14:paraId="0E23430A"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309</w:t>
            </w:r>
          </w:p>
        </w:tc>
        <w:tc>
          <w:tcPr>
            <w:tcW w:w="920" w:type="dxa"/>
            <w:tcBorders>
              <w:top w:val="nil"/>
              <w:left w:val="nil"/>
              <w:bottom w:val="single" w:sz="4" w:space="0" w:color="auto"/>
              <w:right w:val="nil"/>
            </w:tcBorders>
            <w:shd w:val="clear" w:color="000000" w:fill="FFFFFF"/>
            <w:noWrap/>
            <w:vAlign w:val="bottom"/>
            <w:hideMark/>
          </w:tcPr>
          <w:p w14:paraId="79CF97BE"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309</w:t>
            </w:r>
          </w:p>
        </w:tc>
        <w:tc>
          <w:tcPr>
            <w:tcW w:w="880" w:type="dxa"/>
            <w:tcBorders>
              <w:top w:val="nil"/>
              <w:left w:val="nil"/>
              <w:bottom w:val="single" w:sz="4" w:space="0" w:color="auto"/>
              <w:right w:val="nil"/>
            </w:tcBorders>
            <w:shd w:val="clear" w:color="000000" w:fill="FFFFFF"/>
            <w:noWrap/>
            <w:vAlign w:val="bottom"/>
            <w:hideMark/>
          </w:tcPr>
          <w:p w14:paraId="2BFD4E4F"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320</w:t>
            </w:r>
          </w:p>
        </w:tc>
        <w:tc>
          <w:tcPr>
            <w:tcW w:w="880" w:type="dxa"/>
            <w:tcBorders>
              <w:top w:val="nil"/>
              <w:left w:val="nil"/>
              <w:bottom w:val="single" w:sz="4" w:space="0" w:color="auto"/>
              <w:right w:val="nil"/>
            </w:tcBorders>
            <w:shd w:val="clear" w:color="000000" w:fill="FFFFFF"/>
            <w:noWrap/>
            <w:vAlign w:val="bottom"/>
            <w:hideMark/>
          </w:tcPr>
          <w:p w14:paraId="2FB1F0F6"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328</w:t>
            </w:r>
          </w:p>
        </w:tc>
        <w:tc>
          <w:tcPr>
            <w:tcW w:w="920" w:type="dxa"/>
            <w:tcBorders>
              <w:top w:val="nil"/>
              <w:left w:val="nil"/>
              <w:bottom w:val="single" w:sz="4" w:space="0" w:color="auto"/>
              <w:right w:val="nil"/>
            </w:tcBorders>
            <w:shd w:val="clear" w:color="000000" w:fill="FFFFFF"/>
            <w:noWrap/>
            <w:vAlign w:val="bottom"/>
            <w:hideMark/>
          </w:tcPr>
          <w:p w14:paraId="5875D30D"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364</w:t>
            </w:r>
          </w:p>
        </w:tc>
        <w:tc>
          <w:tcPr>
            <w:tcW w:w="880" w:type="dxa"/>
            <w:tcBorders>
              <w:top w:val="nil"/>
              <w:left w:val="nil"/>
              <w:bottom w:val="single" w:sz="4" w:space="0" w:color="auto"/>
              <w:right w:val="nil"/>
            </w:tcBorders>
            <w:shd w:val="clear" w:color="000000" w:fill="FFFFFF"/>
            <w:noWrap/>
            <w:vAlign w:val="bottom"/>
            <w:hideMark/>
          </w:tcPr>
          <w:p w14:paraId="3B2E70B7"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369</w:t>
            </w:r>
          </w:p>
        </w:tc>
        <w:tc>
          <w:tcPr>
            <w:tcW w:w="1257" w:type="dxa"/>
            <w:tcBorders>
              <w:top w:val="nil"/>
              <w:left w:val="nil"/>
              <w:bottom w:val="single" w:sz="4" w:space="0" w:color="auto"/>
              <w:right w:val="single" w:sz="4" w:space="0" w:color="auto"/>
            </w:tcBorders>
            <w:shd w:val="clear" w:color="000000" w:fill="FFFFFF"/>
            <w:noWrap/>
            <w:vAlign w:val="bottom"/>
            <w:hideMark/>
          </w:tcPr>
          <w:p w14:paraId="7FA6F1E5"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369</w:t>
            </w:r>
          </w:p>
        </w:tc>
      </w:tr>
      <w:tr w:rsidR="00432C73" w:rsidRPr="00432C73" w14:paraId="62661E14" w14:textId="77777777" w:rsidTr="005206E0">
        <w:trPr>
          <w:trHeight w:val="225"/>
        </w:trPr>
        <w:tc>
          <w:tcPr>
            <w:tcW w:w="1260" w:type="dxa"/>
            <w:tcBorders>
              <w:top w:val="nil"/>
              <w:left w:val="single" w:sz="4" w:space="0" w:color="auto"/>
              <w:bottom w:val="nil"/>
              <w:right w:val="nil"/>
            </w:tcBorders>
            <w:shd w:val="clear" w:color="000000" w:fill="FFFFFF"/>
            <w:noWrap/>
            <w:vAlign w:val="bottom"/>
            <w:hideMark/>
          </w:tcPr>
          <w:p w14:paraId="4ABA15C8" w14:textId="77777777" w:rsidR="00432C73" w:rsidRPr="00432C73" w:rsidRDefault="00432C73" w:rsidP="00432C73">
            <w:pPr>
              <w:spacing w:after="0" w:line="240" w:lineRule="auto"/>
              <w:rPr>
                <w:b/>
                <w:bCs/>
                <w:color w:val="000000"/>
                <w:sz w:val="16"/>
                <w:szCs w:val="16"/>
                <w:lang w:eastAsia="en-GB"/>
              </w:rPr>
            </w:pPr>
            <w:r w:rsidRPr="00432C73">
              <w:rPr>
                <w:b/>
                <w:bCs/>
                <w:color w:val="000000"/>
                <w:sz w:val="16"/>
                <w:szCs w:val="16"/>
                <w:lang w:eastAsia="en-GB"/>
              </w:rPr>
              <w:t>Kuwait Oil</w:t>
            </w:r>
          </w:p>
        </w:tc>
        <w:tc>
          <w:tcPr>
            <w:tcW w:w="1380" w:type="dxa"/>
            <w:tcBorders>
              <w:top w:val="nil"/>
              <w:left w:val="nil"/>
              <w:bottom w:val="nil"/>
              <w:right w:val="nil"/>
            </w:tcBorders>
            <w:shd w:val="clear" w:color="000000" w:fill="FFFFFF"/>
            <w:noWrap/>
            <w:vAlign w:val="bottom"/>
            <w:hideMark/>
          </w:tcPr>
          <w:p w14:paraId="5FE27F1C" w14:textId="77777777" w:rsidR="00432C73" w:rsidRPr="00432C73" w:rsidRDefault="00432C73" w:rsidP="00432C73">
            <w:pPr>
              <w:spacing w:after="0" w:line="240" w:lineRule="auto"/>
              <w:rPr>
                <w:sz w:val="16"/>
                <w:szCs w:val="16"/>
                <w:lang w:eastAsia="en-GB"/>
              </w:rPr>
            </w:pPr>
            <w:r w:rsidRPr="00432C73">
              <w:rPr>
                <w:sz w:val="16"/>
                <w:szCs w:val="16"/>
                <w:lang w:eastAsia="en-GB"/>
              </w:rPr>
              <w:t>Opening Debtors</w:t>
            </w:r>
          </w:p>
        </w:tc>
        <w:tc>
          <w:tcPr>
            <w:tcW w:w="960" w:type="dxa"/>
            <w:tcBorders>
              <w:top w:val="nil"/>
              <w:left w:val="nil"/>
              <w:bottom w:val="nil"/>
              <w:right w:val="nil"/>
            </w:tcBorders>
            <w:shd w:val="clear" w:color="000000" w:fill="FFFFFF"/>
            <w:noWrap/>
            <w:vAlign w:val="bottom"/>
            <w:hideMark/>
          </w:tcPr>
          <w:p w14:paraId="0F332CC4"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797</w:t>
            </w:r>
          </w:p>
        </w:tc>
        <w:tc>
          <w:tcPr>
            <w:tcW w:w="920" w:type="dxa"/>
            <w:tcBorders>
              <w:top w:val="nil"/>
              <w:left w:val="nil"/>
              <w:bottom w:val="nil"/>
              <w:right w:val="nil"/>
            </w:tcBorders>
            <w:shd w:val="clear" w:color="000000" w:fill="FFFFFF"/>
            <w:noWrap/>
            <w:vAlign w:val="bottom"/>
            <w:hideMark/>
          </w:tcPr>
          <w:p w14:paraId="39491BA4"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1,344</w:t>
            </w:r>
          </w:p>
        </w:tc>
        <w:tc>
          <w:tcPr>
            <w:tcW w:w="900" w:type="dxa"/>
            <w:tcBorders>
              <w:top w:val="nil"/>
              <w:left w:val="nil"/>
              <w:bottom w:val="nil"/>
              <w:right w:val="nil"/>
            </w:tcBorders>
            <w:shd w:val="clear" w:color="000000" w:fill="FFFFFF"/>
            <w:noWrap/>
            <w:vAlign w:val="bottom"/>
            <w:hideMark/>
          </w:tcPr>
          <w:p w14:paraId="44B64482"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1,480</w:t>
            </w:r>
          </w:p>
        </w:tc>
        <w:tc>
          <w:tcPr>
            <w:tcW w:w="920" w:type="dxa"/>
            <w:tcBorders>
              <w:top w:val="nil"/>
              <w:left w:val="nil"/>
              <w:bottom w:val="nil"/>
              <w:right w:val="nil"/>
            </w:tcBorders>
            <w:shd w:val="clear" w:color="000000" w:fill="FFFFFF"/>
            <w:noWrap/>
            <w:vAlign w:val="bottom"/>
            <w:hideMark/>
          </w:tcPr>
          <w:p w14:paraId="1F6F1894"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1,534</w:t>
            </w:r>
          </w:p>
        </w:tc>
        <w:tc>
          <w:tcPr>
            <w:tcW w:w="880" w:type="dxa"/>
            <w:tcBorders>
              <w:top w:val="nil"/>
              <w:left w:val="nil"/>
              <w:bottom w:val="nil"/>
              <w:right w:val="nil"/>
            </w:tcBorders>
            <w:shd w:val="clear" w:color="000000" w:fill="FFFFFF"/>
            <w:noWrap/>
            <w:vAlign w:val="bottom"/>
            <w:hideMark/>
          </w:tcPr>
          <w:p w14:paraId="040EA815"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1,629</w:t>
            </w:r>
          </w:p>
        </w:tc>
        <w:tc>
          <w:tcPr>
            <w:tcW w:w="900" w:type="dxa"/>
            <w:tcBorders>
              <w:top w:val="nil"/>
              <w:left w:val="nil"/>
              <w:bottom w:val="nil"/>
              <w:right w:val="nil"/>
            </w:tcBorders>
            <w:shd w:val="clear" w:color="000000" w:fill="FFFFFF"/>
            <w:noWrap/>
            <w:vAlign w:val="bottom"/>
            <w:hideMark/>
          </w:tcPr>
          <w:p w14:paraId="4152D797"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1,561</w:t>
            </w:r>
          </w:p>
        </w:tc>
        <w:tc>
          <w:tcPr>
            <w:tcW w:w="880" w:type="dxa"/>
            <w:tcBorders>
              <w:top w:val="nil"/>
              <w:left w:val="nil"/>
              <w:bottom w:val="nil"/>
              <w:right w:val="nil"/>
            </w:tcBorders>
            <w:shd w:val="clear" w:color="000000" w:fill="FFFFFF"/>
            <w:noWrap/>
            <w:vAlign w:val="bottom"/>
            <w:hideMark/>
          </w:tcPr>
          <w:p w14:paraId="22258AE8"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1,589</w:t>
            </w:r>
          </w:p>
        </w:tc>
        <w:tc>
          <w:tcPr>
            <w:tcW w:w="920" w:type="dxa"/>
            <w:tcBorders>
              <w:top w:val="nil"/>
              <w:left w:val="nil"/>
              <w:bottom w:val="nil"/>
              <w:right w:val="nil"/>
            </w:tcBorders>
            <w:shd w:val="clear" w:color="000000" w:fill="FFFFFF"/>
            <w:noWrap/>
            <w:vAlign w:val="bottom"/>
            <w:hideMark/>
          </w:tcPr>
          <w:p w14:paraId="154EB1F6"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1,579</w:t>
            </w:r>
          </w:p>
        </w:tc>
        <w:tc>
          <w:tcPr>
            <w:tcW w:w="880" w:type="dxa"/>
            <w:tcBorders>
              <w:top w:val="nil"/>
              <w:left w:val="nil"/>
              <w:bottom w:val="nil"/>
              <w:right w:val="nil"/>
            </w:tcBorders>
            <w:shd w:val="clear" w:color="000000" w:fill="FFFFFF"/>
            <w:noWrap/>
            <w:vAlign w:val="bottom"/>
            <w:hideMark/>
          </w:tcPr>
          <w:p w14:paraId="070DEF61"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1,628</w:t>
            </w:r>
          </w:p>
        </w:tc>
        <w:tc>
          <w:tcPr>
            <w:tcW w:w="880" w:type="dxa"/>
            <w:tcBorders>
              <w:top w:val="nil"/>
              <w:left w:val="nil"/>
              <w:bottom w:val="nil"/>
              <w:right w:val="nil"/>
            </w:tcBorders>
            <w:shd w:val="clear" w:color="000000" w:fill="FFFFFF"/>
            <w:noWrap/>
            <w:vAlign w:val="bottom"/>
            <w:hideMark/>
          </w:tcPr>
          <w:p w14:paraId="3CA51AE1"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2,064</w:t>
            </w:r>
          </w:p>
        </w:tc>
        <w:tc>
          <w:tcPr>
            <w:tcW w:w="920" w:type="dxa"/>
            <w:tcBorders>
              <w:top w:val="nil"/>
              <w:left w:val="nil"/>
              <w:bottom w:val="nil"/>
              <w:right w:val="nil"/>
            </w:tcBorders>
            <w:shd w:val="clear" w:color="000000" w:fill="FFFFFF"/>
            <w:noWrap/>
            <w:vAlign w:val="bottom"/>
            <w:hideMark/>
          </w:tcPr>
          <w:p w14:paraId="2504FDE2"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2,095</w:t>
            </w:r>
          </w:p>
        </w:tc>
        <w:tc>
          <w:tcPr>
            <w:tcW w:w="880" w:type="dxa"/>
            <w:tcBorders>
              <w:top w:val="nil"/>
              <w:left w:val="nil"/>
              <w:bottom w:val="nil"/>
              <w:right w:val="nil"/>
            </w:tcBorders>
            <w:shd w:val="clear" w:color="000000" w:fill="FFFFFF"/>
            <w:noWrap/>
            <w:vAlign w:val="bottom"/>
            <w:hideMark/>
          </w:tcPr>
          <w:p w14:paraId="4B8CA044"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2,153</w:t>
            </w:r>
          </w:p>
        </w:tc>
        <w:tc>
          <w:tcPr>
            <w:tcW w:w="1257" w:type="dxa"/>
            <w:tcBorders>
              <w:top w:val="nil"/>
              <w:left w:val="nil"/>
              <w:bottom w:val="nil"/>
              <w:right w:val="single" w:sz="4" w:space="0" w:color="auto"/>
            </w:tcBorders>
            <w:shd w:val="clear" w:color="000000" w:fill="FFFFFF"/>
            <w:noWrap/>
            <w:vAlign w:val="bottom"/>
            <w:hideMark/>
          </w:tcPr>
          <w:p w14:paraId="6CED3062"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797</w:t>
            </w:r>
          </w:p>
        </w:tc>
      </w:tr>
      <w:tr w:rsidR="00432C73" w:rsidRPr="00432C73" w14:paraId="7E370B58" w14:textId="77777777" w:rsidTr="005206E0">
        <w:trPr>
          <w:trHeight w:val="225"/>
        </w:trPr>
        <w:tc>
          <w:tcPr>
            <w:tcW w:w="1260" w:type="dxa"/>
            <w:tcBorders>
              <w:top w:val="nil"/>
              <w:left w:val="single" w:sz="4" w:space="0" w:color="auto"/>
              <w:bottom w:val="nil"/>
              <w:right w:val="nil"/>
            </w:tcBorders>
            <w:shd w:val="clear" w:color="000000" w:fill="FFFFFF"/>
            <w:noWrap/>
            <w:vAlign w:val="bottom"/>
            <w:hideMark/>
          </w:tcPr>
          <w:p w14:paraId="029CD67D" w14:textId="77777777" w:rsidR="00432C73" w:rsidRPr="00432C73" w:rsidRDefault="00432C73" w:rsidP="00432C73">
            <w:pPr>
              <w:spacing w:after="0" w:line="240" w:lineRule="auto"/>
              <w:rPr>
                <w:b/>
                <w:bCs/>
                <w:color w:val="000000"/>
                <w:sz w:val="16"/>
                <w:szCs w:val="16"/>
                <w:lang w:eastAsia="en-GB"/>
              </w:rPr>
            </w:pPr>
            <w:r w:rsidRPr="00432C73">
              <w:rPr>
                <w:b/>
                <w:bCs/>
                <w:color w:val="000000"/>
                <w:sz w:val="16"/>
                <w:szCs w:val="16"/>
                <w:lang w:eastAsia="en-GB"/>
              </w:rPr>
              <w:t> </w:t>
            </w:r>
          </w:p>
        </w:tc>
        <w:tc>
          <w:tcPr>
            <w:tcW w:w="1380" w:type="dxa"/>
            <w:tcBorders>
              <w:top w:val="nil"/>
              <w:left w:val="nil"/>
              <w:bottom w:val="nil"/>
              <w:right w:val="nil"/>
            </w:tcBorders>
            <w:shd w:val="clear" w:color="000000" w:fill="FFFFFF"/>
            <w:noWrap/>
            <w:vAlign w:val="bottom"/>
            <w:hideMark/>
          </w:tcPr>
          <w:p w14:paraId="55DD1821" w14:textId="77777777" w:rsidR="00432C73" w:rsidRPr="00432C73" w:rsidRDefault="00432C73" w:rsidP="00432C73">
            <w:pPr>
              <w:spacing w:after="0" w:line="240" w:lineRule="auto"/>
              <w:rPr>
                <w:sz w:val="16"/>
                <w:szCs w:val="16"/>
                <w:lang w:eastAsia="en-GB"/>
              </w:rPr>
            </w:pPr>
            <w:r w:rsidRPr="00432C73">
              <w:rPr>
                <w:sz w:val="16"/>
                <w:szCs w:val="16"/>
                <w:lang w:eastAsia="en-GB"/>
              </w:rPr>
              <w:t>Invoices</w:t>
            </w:r>
          </w:p>
        </w:tc>
        <w:tc>
          <w:tcPr>
            <w:tcW w:w="960" w:type="dxa"/>
            <w:tcBorders>
              <w:top w:val="nil"/>
              <w:left w:val="nil"/>
              <w:bottom w:val="nil"/>
              <w:right w:val="nil"/>
            </w:tcBorders>
            <w:shd w:val="clear" w:color="000000" w:fill="FFFFFF"/>
            <w:noWrap/>
            <w:vAlign w:val="bottom"/>
            <w:hideMark/>
          </w:tcPr>
          <w:p w14:paraId="1DF395F7"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555</w:t>
            </w:r>
          </w:p>
        </w:tc>
        <w:tc>
          <w:tcPr>
            <w:tcW w:w="920" w:type="dxa"/>
            <w:tcBorders>
              <w:top w:val="nil"/>
              <w:left w:val="nil"/>
              <w:bottom w:val="nil"/>
              <w:right w:val="nil"/>
            </w:tcBorders>
            <w:shd w:val="clear" w:color="000000" w:fill="FFFFFF"/>
            <w:noWrap/>
            <w:vAlign w:val="bottom"/>
            <w:hideMark/>
          </w:tcPr>
          <w:p w14:paraId="24CCE565"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137</w:t>
            </w:r>
          </w:p>
        </w:tc>
        <w:tc>
          <w:tcPr>
            <w:tcW w:w="900" w:type="dxa"/>
            <w:tcBorders>
              <w:top w:val="nil"/>
              <w:left w:val="nil"/>
              <w:bottom w:val="nil"/>
              <w:right w:val="nil"/>
            </w:tcBorders>
            <w:shd w:val="clear" w:color="000000" w:fill="FFFFFF"/>
            <w:noWrap/>
            <w:vAlign w:val="bottom"/>
            <w:hideMark/>
          </w:tcPr>
          <w:p w14:paraId="6389242A"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71</w:t>
            </w:r>
          </w:p>
        </w:tc>
        <w:tc>
          <w:tcPr>
            <w:tcW w:w="920" w:type="dxa"/>
            <w:tcBorders>
              <w:top w:val="nil"/>
              <w:left w:val="nil"/>
              <w:bottom w:val="nil"/>
              <w:right w:val="nil"/>
            </w:tcBorders>
            <w:shd w:val="clear" w:color="000000" w:fill="FFFFFF"/>
            <w:noWrap/>
            <w:vAlign w:val="bottom"/>
            <w:hideMark/>
          </w:tcPr>
          <w:p w14:paraId="1F3D3C3F"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105</w:t>
            </w:r>
          </w:p>
        </w:tc>
        <w:tc>
          <w:tcPr>
            <w:tcW w:w="880" w:type="dxa"/>
            <w:tcBorders>
              <w:top w:val="nil"/>
              <w:left w:val="nil"/>
              <w:bottom w:val="nil"/>
              <w:right w:val="nil"/>
            </w:tcBorders>
            <w:shd w:val="clear" w:color="000000" w:fill="FFFFFF"/>
            <w:noWrap/>
            <w:vAlign w:val="bottom"/>
            <w:hideMark/>
          </w:tcPr>
          <w:p w14:paraId="0B3D0053"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7</w:t>
            </w:r>
          </w:p>
        </w:tc>
        <w:tc>
          <w:tcPr>
            <w:tcW w:w="900" w:type="dxa"/>
            <w:tcBorders>
              <w:top w:val="nil"/>
              <w:left w:val="nil"/>
              <w:bottom w:val="nil"/>
              <w:right w:val="nil"/>
            </w:tcBorders>
            <w:shd w:val="clear" w:color="000000" w:fill="FFFFFF"/>
            <w:noWrap/>
            <w:vAlign w:val="bottom"/>
            <w:hideMark/>
          </w:tcPr>
          <w:p w14:paraId="3E4235E9"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76</w:t>
            </w:r>
          </w:p>
        </w:tc>
        <w:tc>
          <w:tcPr>
            <w:tcW w:w="880" w:type="dxa"/>
            <w:tcBorders>
              <w:top w:val="nil"/>
              <w:left w:val="nil"/>
              <w:bottom w:val="nil"/>
              <w:right w:val="nil"/>
            </w:tcBorders>
            <w:shd w:val="clear" w:color="000000" w:fill="FFFFFF"/>
            <w:noWrap/>
            <w:vAlign w:val="bottom"/>
            <w:hideMark/>
          </w:tcPr>
          <w:p w14:paraId="0D1B099C"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45</w:t>
            </w:r>
          </w:p>
        </w:tc>
        <w:tc>
          <w:tcPr>
            <w:tcW w:w="920" w:type="dxa"/>
            <w:tcBorders>
              <w:top w:val="nil"/>
              <w:left w:val="nil"/>
              <w:bottom w:val="nil"/>
              <w:right w:val="nil"/>
            </w:tcBorders>
            <w:shd w:val="clear" w:color="000000" w:fill="FFFFFF"/>
            <w:noWrap/>
            <w:vAlign w:val="bottom"/>
            <w:hideMark/>
          </w:tcPr>
          <w:p w14:paraId="614C509B"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51</w:t>
            </w:r>
          </w:p>
        </w:tc>
        <w:tc>
          <w:tcPr>
            <w:tcW w:w="880" w:type="dxa"/>
            <w:tcBorders>
              <w:top w:val="nil"/>
              <w:left w:val="nil"/>
              <w:bottom w:val="nil"/>
              <w:right w:val="nil"/>
            </w:tcBorders>
            <w:shd w:val="clear" w:color="000000" w:fill="FFFFFF"/>
            <w:noWrap/>
            <w:vAlign w:val="bottom"/>
            <w:hideMark/>
          </w:tcPr>
          <w:p w14:paraId="47BD2738"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437</w:t>
            </w:r>
          </w:p>
        </w:tc>
        <w:tc>
          <w:tcPr>
            <w:tcW w:w="880" w:type="dxa"/>
            <w:tcBorders>
              <w:top w:val="nil"/>
              <w:left w:val="nil"/>
              <w:bottom w:val="nil"/>
              <w:right w:val="nil"/>
            </w:tcBorders>
            <w:shd w:val="clear" w:color="000000" w:fill="FFFFFF"/>
            <w:noWrap/>
            <w:vAlign w:val="bottom"/>
            <w:hideMark/>
          </w:tcPr>
          <w:p w14:paraId="3E96722D"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34</w:t>
            </w:r>
          </w:p>
        </w:tc>
        <w:tc>
          <w:tcPr>
            <w:tcW w:w="920" w:type="dxa"/>
            <w:tcBorders>
              <w:top w:val="nil"/>
              <w:left w:val="nil"/>
              <w:bottom w:val="nil"/>
              <w:right w:val="nil"/>
            </w:tcBorders>
            <w:shd w:val="clear" w:color="000000" w:fill="FFFFFF"/>
            <w:noWrap/>
            <w:vAlign w:val="bottom"/>
            <w:hideMark/>
          </w:tcPr>
          <w:p w14:paraId="2CA6F23A"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247</w:t>
            </w:r>
          </w:p>
        </w:tc>
        <w:tc>
          <w:tcPr>
            <w:tcW w:w="880" w:type="dxa"/>
            <w:tcBorders>
              <w:top w:val="nil"/>
              <w:left w:val="nil"/>
              <w:bottom w:val="nil"/>
              <w:right w:val="nil"/>
            </w:tcBorders>
            <w:shd w:val="clear" w:color="000000" w:fill="FFFFFF"/>
            <w:noWrap/>
            <w:vAlign w:val="bottom"/>
            <w:hideMark/>
          </w:tcPr>
          <w:p w14:paraId="1BA778A9"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4</w:t>
            </w:r>
          </w:p>
        </w:tc>
        <w:tc>
          <w:tcPr>
            <w:tcW w:w="1257" w:type="dxa"/>
            <w:tcBorders>
              <w:top w:val="nil"/>
              <w:left w:val="nil"/>
              <w:bottom w:val="nil"/>
              <w:right w:val="single" w:sz="4" w:space="0" w:color="auto"/>
            </w:tcBorders>
            <w:shd w:val="clear" w:color="000000" w:fill="FFFFFF"/>
            <w:noWrap/>
            <w:vAlign w:val="bottom"/>
            <w:hideMark/>
          </w:tcPr>
          <w:p w14:paraId="02CC99DB"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1,769</w:t>
            </w:r>
          </w:p>
        </w:tc>
      </w:tr>
      <w:tr w:rsidR="00432C73" w:rsidRPr="00432C73" w14:paraId="2D114CB7" w14:textId="77777777" w:rsidTr="005206E0">
        <w:trPr>
          <w:trHeight w:val="225"/>
        </w:trPr>
        <w:tc>
          <w:tcPr>
            <w:tcW w:w="1260" w:type="dxa"/>
            <w:tcBorders>
              <w:top w:val="nil"/>
              <w:left w:val="single" w:sz="4" w:space="0" w:color="auto"/>
              <w:bottom w:val="nil"/>
              <w:right w:val="nil"/>
            </w:tcBorders>
            <w:shd w:val="clear" w:color="000000" w:fill="FFFFFF"/>
            <w:noWrap/>
            <w:vAlign w:val="bottom"/>
            <w:hideMark/>
          </w:tcPr>
          <w:p w14:paraId="20BB364B" w14:textId="77777777" w:rsidR="00432C73" w:rsidRPr="00432C73" w:rsidRDefault="00432C73" w:rsidP="00432C73">
            <w:pPr>
              <w:spacing w:after="0" w:line="240" w:lineRule="auto"/>
              <w:rPr>
                <w:b/>
                <w:bCs/>
                <w:color w:val="000000"/>
                <w:sz w:val="16"/>
                <w:szCs w:val="16"/>
                <w:lang w:eastAsia="en-GB"/>
              </w:rPr>
            </w:pPr>
            <w:r w:rsidRPr="00432C73">
              <w:rPr>
                <w:b/>
                <w:bCs/>
                <w:color w:val="000000"/>
                <w:sz w:val="16"/>
                <w:szCs w:val="16"/>
                <w:lang w:eastAsia="en-GB"/>
              </w:rPr>
              <w:t> </w:t>
            </w:r>
          </w:p>
        </w:tc>
        <w:tc>
          <w:tcPr>
            <w:tcW w:w="1380" w:type="dxa"/>
            <w:tcBorders>
              <w:top w:val="nil"/>
              <w:left w:val="nil"/>
              <w:bottom w:val="nil"/>
              <w:right w:val="nil"/>
            </w:tcBorders>
            <w:shd w:val="clear" w:color="000000" w:fill="FFFFFF"/>
            <w:noWrap/>
            <w:vAlign w:val="bottom"/>
            <w:hideMark/>
          </w:tcPr>
          <w:p w14:paraId="491EA773" w14:textId="77777777" w:rsidR="00432C73" w:rsidRPr="00432C73" w:rsidRDefault="00432C73" w:rsidP="00432C73">
            <w:pPr>
              <w:spacing w:after="0" w:line="240" w:lineRule="auto"/>
              <w:rPr>
                <w:sz w:val="16"/>
                <w:szCs w:val="16"/>
                <w:lang w:eastAsia="en-GB"/>
              </w:rPr>
            </w:pPr>
            <w:r w:rsidRPr="00432C73">
              <w:rPr>
                <w:sz w:val="16"/>
                <w:szCs w:val="16"/>
                <w:lang w:eastAsia="en-GB"/>
              </w:rPr>
              <w:t>Payments</w:t>
            </w:r>
          </w:p>
        </w:tc>
        <w:tc>
          <w:tcPr>
            <w:tcW w:w="960" w:type="dxa"/>
            <w:tcBorders>
              <w:top w:val="nil"/>
              <w:left w:val="nil"/>
              <w:bottom w:val="nil"/>
              <w:right w:val="nil"/>
            </w:tcBorders>
            <w:shd w:val="clear" w:color="000000" w:fill="FFFFFF"/>
            <w:noWrap/>
            <w:vAlign w:val="bottom"/>
            <w:hideMark/>
          </w:tcPr>
          <w:p w14:paraId="380AB634"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(7)</w:t>
            </w:r>
          </w:p>
        </w:tc>
        <w:tc>
          <w:tcPr>
            <w:tcW w:w="920" w:type="dxa"/>
            <w:tcBorders>
              <w:top w:val="nil"/>
              <w:left w:val="nil"/>
              <w:bottom w:val="nil"/>
              <w:right w:val="nil"/>
            </w:tcBorders>
            <w:shd w:val="clear" w:color="000000" w:fill="FFFFFF"/>
            <w:noWrap/>
            <w:vAlign w:val="bottom"/>
            <w:hideMark/>
          </w:tcPr>
          <w:p w14:paraId="0DFCB10D"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w:t>
            </w:r>
          </w:p>
        </w:tc>
        <w:tc>
          <w:tcPr>
            <w:tcW w:w="900" w:type="dxa"/>
            <w:tcBorders>
              <w:top w:val="nil"/>
              <w:left w:val="nil"/>
              <w:bottom w:val="nil"/>
              <w:right w:val="nil"/>
            </w:tcBorders>
            <w:shd w:val="clear" w:color="000000" w:fill="FFFFFF"/>
            <w:noWrap/>
            <w:vAlign w:val="bottom"/>
            <w:hideMark/>
          </w:tcPr>
          <w:p w14:paraId="3220F021"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(17)</w:t>
            </w:r>
          </w:p>
        </w:tc>
        <w:tc>
          <w:tcPr>
            <w:tcW w:w="920" w:type="dxa"/>
            <w:tcBorders>
              <w:top w:val="nil"/>
              <w:left w:val="nil"/>
              <w:bottom w:val="nil"/>
              <w:right w:val="nil"/>
            </w:tcBorders>
            <w:shd w:val="clear" w:color="000000" w:fill="FFFFFF"/>
            <w:noWrap/>
            <w:vAlign w:val="bottom"/>
            <w:hideMark/>
          </w:tcPr>
          <w:p w14:paraId="34A8E281"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(10)</w:t>
            </w:r>
          </w:p>
        </w:tc>
        <w:tc>
          <w:tcPr>
            <w:tcW w:w="880" w:type="dxa"/>
            <w:tcBorders>
              <w:top w:val="nil"/>
              <w:left w:val="nil"/>
              <w:bottom w:val="nil"/>
              <w:right w:val="nil"/>
            </w:tcBorders>
            <w:shd w:val="clear" w:color="000000" w:fill="FFFFFF"/>
            <w:noWrap/>
            <w:vAlign w:val="bottom"/>
            <w:hideMark/>
          </w:tcPr>
          <w:p w14:paraId="4E063166"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(76)</w:t>
            </w:r>
          </w:p>
        </w:tc>
        <w:tc>
          <w:tcPr>
            <w:tcW w:w="900" w:type="dxa"/>
            <w:tcBorders>
              <w:top w:val="nil"/>
              <w:left w:val="nil"/>
              <w:bottom w:val="nil"/>
              <w:right w:val="nil"/>
            </w:tcBorders>
            <w:shd w:val="clear" w:color="000000" w:fill="FFFFFF"/>
            <w:noWrap/>
            <w:vAlign w:val="bottom"/>
            <w:hideMark/>
          </w:tcPr>
          <w:p w14:paraId="5EA1FB48"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(48)</w:t>
            </w:r>
          </w:p>
        </w:tc>
        <w:tc>
          <w:tcPr>
            <w:tcW w:w="880" w:type="dxa"/>
            <w:tcBorders>
              <w:top w:val="nil"/>
              <w:left w:val="nil"/>
              <w:bottom w:val="nil"/>
              <w:right w:val="nil"/>
            </w:tcBorders>
            <w:shd w:val="clear" w:color="000000" w:fill="FFFFFF"/>
            <w:noWrap/>
            <w:vAlign w:val="bottom"/>
            <w:hideMark/>
          </w:tcPr>
          <w:p w14:paraId="0731E236"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(56)</w:t>
            </w:r>
          </w:p>
        </w:tc>
        <w:tc>
          <w:tcPr>
            <w:tcW w:w="920" w:type="dxa"/>
            <w:tcBorders>
              <w:top w:val="nil"/>
              <w:left w:val="nil"/>
              <w:bottom w:val="nil"/>
              <w:right w:val="nil"/>
            </w:tcBorders>
            <w:shd w:val="clear" w:color="000000" w:fill="FFFFFF"/>
            <w:noWrap/>
            <w:vAlign w:val="bottom"/>
            <w:hideMark/>
          </w:tcPr>
          <w:p w14:paraId="1FBFD80F"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(2)</w:t>
            </w:r>
          </w:p>
        </w:tc>
        <w:tc>
          <w:tcPr>
            <w:tcW w:w="880" w:type="dxa"/>
            <w:tcBorders>
              <w:top w:val="nil"/>
              <w:left w:val="nil"/>
              <w:bottom w:val="nil"/>
              <w:right w:val="nil"/>
            </w:tcBorders>
            <w:shd w:val="clear" w:color="000000" w:fill="FFFFFF"/>
            <w:noWrap/>
            <w:vAlign w:val="bottom"/>
            <w:hideMark/>
          </w:tcPr>
          <w:p w14:paraId="1DD071E5"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w:t>
            </w:r>
          </w:p>
        </w:tc>
        <w:tc>
          <w:tcPr>
            <w:tcW w:w="880" w:type="dxa"/>
            <w:tcBorders>
              <w:top w:val="nil"/>
              <w:left w:val="nil"/>
              <w:bottom w:val="nil"/>
              <w:right w:val="nil"/>
            </w:tcBorders>
            <w:shd w:val="clear" w:color="000000" w:fill="FFFFFF"/>
            <w:noWrap/>
            <w:vAlign w:val="bottom"/>
            <w:hideMark/>
          </w:tcPr>
          <w:p w14:paraId="60AE2BBE"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(2)</w:t>
            </w:r>
          </w:p>
        </w:tc>
        <w:tc>
          <w:tcPr>
            <w:tcW w:w="920" w:type="dxa"/>
            <w:tcBorders>
              <w:top w:val="nil"/>
              <w:left w:val="nil"/>
              <w:bottom w:val="nil"/>
              <w:right w:val="nil"/>
            </w:tcBorders>
            <w:shd w:val="clear" w:color="000000" w:fill="FFFFFF"/>
            <w:noWrap/>
            <w:vAlign w:val="bottom"/>
            <w:hideMark/>
          </w:tcPr>
          <w:p w14:paraId="14D0F1CA"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(190)</w:t>
            </w:r>
          </w:p>
        </w:tc>
        <w:tc>
          <w:tcPr>
            <w:tcW w:w="880" w:type="dxa"/>
            <w:tcBorders>
              <w:top w:val="nil"/>
              <w:left w:val="nil"/>
              <w:bottom w:val="nil"/>
              <w:right w:val="nil"/>
            </w:tcBorders>
            <w:shd w:val="clear" w:color="000000" w:fill="FFFFFF"/>
            <w:noWrap/>
            <w:vAlign w:val="bottom"/>
            <w:hideMark/>
          </w:tcPr>
          <w:p w14:paraId="2ED89D16"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(102)</w:t>
            </w:r>
          </w:p>
        </w:tc>
        <w:tc>
          <w:tcPr>
            <w:tcW w:w="1257" w:type="dxa"/>
            <w:tcBorders>
              <w:top w:val="nil"/>
              <w:left w:val="nil"/>
              <w:bottom w:val="nil"/>
              <w:right w:val="single" w:sz="4" w:space="0" w:color="auto"/>
            </w:tcBorders>
            <w:shd w:val="clear" w:color="000000" w:fill="FFFFFF"/>
            <w:noWrap/>
            <w:vAlign w:val="bottom"/>
            <w:hideMark/>
          </w:tcPr>
          <w:p w14:paraId="470F3281"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(511)</w:t>
            </w:r>
          </w:p>
        </w:tc>
      </w:tr>
      <w:tr w:rsidR="00432C73" w:rsidRPr="00432C73" w14:paraId="61FD72C8" w14:textId="77777777" w:rsidTr="005206E0">
        <w:trPr>
          <w:trHeight w:val="225"/>
        </w:trPr>
        <w:tc>
          <w:tcPr>
            <w:tcW w:w="1260" w:type="dxa"/>
            <w:tcBorders>
              <w:top w:val="nil"/>
              <w:left w:val="single" w:sz="4" w:space="0" w:color="auto"/>
              <w:bottom w:val="single" w:sz="4" w:space="0" w:color="auto"/>
              <w:right w:val="nil"/>
            </w:tcBorders>
            <w:shd w:val="clear" w:color="000000" w:fill="FFFFFF"/>
            <w:noWrap/>
            <w:vAlign w:val="bottom"/>
            <w:hideMark/>
          </w:tcPr>
          <w:p w14:paraId="0BB8D7C2" w14:textId="77777777" w:rsidR="00432C73" w:rsidRPr="00432C73" w:rsidRDefault="00432C73" w:rsidP="00432C73">
            <w:pPr>
              <w:spacing w:after="0" w:line="240" w:lineRule="auto"/>
              <w:rPr>
                <w:b/>
                <w:bCs/>
                <w:color w:val="000000"/>
                <w:sz w:val="16"/>
                <w:szCs w:val="16"/>
                <w:lang w:eastAsia="en-GB"/>
              </w:rPr>
            </w:pPr>
            <w:r w:rsidRPr="00432C73">
              <w:rPr>
                <w:b/>
                <w:bCs/>
                <w:color w:val="000000"/>
                <w:sz w:val="16"/>
                <w:szCs w:val="16"/>
                <w:lang w:eastAsia="en-GB"/>
              </w:rPr>
              <w:t> </w:t>
            </w:r>
          </w:p>
        </w:tc>
        <w:tc>
          <w:tcPr>
            <w:tcW w:w="1380" w:type="dxa"/>
            <w:tcBorders>
              <w:top w:val="nil"/>
              <w:left w:val="nil"/>
              <w:bottom w:val="single" w:sz="4" w:space="0" w:color="auto"/>
              <w:right w:val="nil"/>
            </w:tcBorders>
            <w:shd w:val="clear" w:color="000000" w:fill="FFFFFF"/>
            <w:noWrap/>
            <w:vAlign w:val="bottom"/>
            <w:hideMark/>
          </w:tcPr>
          <w:p w14:paraId="4D39E7B2" w14:textId="77777777" w:rsidR="00432C73" w:rsidRPr="00432C73" w:rsidRDefault="00432C73" w:rsidP="00432C73">
            <w:pPr>
              <w:spacing w:after="0" w:line="240" w:lineRule="auto"/>
              <w:rPr>
                <w:sz w:val="16"/>
                <w:szCs w:val="16"/>
                <w:lang w:eastAsia="en-GB"/>
              </w:rPr>
            </w:pPr>
            <w:r w:rsidRPr="00432C73">
              <w:rPr>
                <w:sz w:val="16"/>
                <w:szCs w:val="16"/>
                <w:lang w:eastAsia="en-GB"/>
              </w:rPr>
              <w:t>Closing Debtors</w:t>
            </w:r>
          </w:p>
        </w:tc>
        <w:tc>
          <w:tcPr>
            <w:tcW w:w="960" w:type="dxa"/>
            <w:tcBorders>
              <w:top w:val="nil"/>
              <w:left w:val="nil"/>
              <w:bottom w:val="single" w:sz="4" w:space="0" w:color="auto"/>
              <w:right w:val="nil"/>
            </w:tcBorders>
            <w:shd w:val="clear" w:color="000000" w:fill="FFFFFF"/>
            <w:noWrap/>
            <w:vAlign w:val="bottom"/>
            <w:hideMark/>
          </w:tcPr>
          <w:p w14:paraId="417A76AC"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1,344</w:t>
            </w:r>
          </w:p>
        </w:tc>
        <w:tc>
          <w:tcPr>
            <w:tcW w:w="920" w:type="dxa"/>
            <w:tcBorders>
              <w:top w:val="nil"/>
              <w:left w:val="nil"/>
              <w:bottom w:val="single" w:sz="4" w:space="0" w:color="auto"/>
              <w:right w:val="nil"/>
            </w:tcBorders>
            <w:shd w:val="clear" w:color="000000" w:fill="FFFFFF"/>
            <w:noWrap/>
            <w:vAlign w:val="bottom"/>
            <w:hideMark/>
          </w:tcPr>
          <w:p w14:paraId="12278A9D"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1,480</w:t>
            </w:r>
          </w:p>
        </w:tc>
        <w:tc>
          <w:tcPr>
            <w:tcW w:w="900" w:type="dxa"/>
            <w:tcBorders>
              <w:top w:val="nil"/>
              <w:left w:val="nil"/>
              <w:bottom w:val="single" w:sz="4" w:space="0" w:color="auto"/>
              <w:right w:val="nil"/>
            </w:tcBorders>
            <w:shd w:val="clear" w:color="000000" w:fill="FFFFFF"/>
            <w:noWrap/>
            <w:vAlign w:val="bottom"/>
            <w:hideMark/>
          </w:tcPr>
          <w:p w14:paraId="11FD729E"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1,534</w:t>
            </w:r>
          </w:p>
        </w:tc>
        <w:tc>
          <w:tcPr>
            <w:tcW w:w="920" w:type="dxa"/>
            <w:tcBorders>
              <w:top w:val="nil"/>
              <w:left w:val="nil"/>
              <w:bottom w:val="single" w:sz="4" w:space="0" w:color="auto"/>
              <w:right w:val="nil"/>
            </w:tcBorders>
            <w:shd w:val="clear" w:color="000000" w:fill="FFFFFF"/>
            <w:noWrap/>
            <w:vAlign w:val="bottom"/>
            <w:hideMark/>
          </w:tcPr>
          <w:p w14:paraId="4322D91C"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1,629</w:t>
            </w:r>
          </w:p>
        </w:tc>
        <w:tc>
          <w:tcPr>
            <w:tcW w:w="880" w:type="dxa"/>
            <w:tcBorders>
              <w:top w:val="nil"/>
              <w:left w:val="nil"/>
              <w:bottom w:val="single" w:sz="4" w:space="0" w:color="auto"/>
              <w:right w:val="nil"/>
            </w:tcBorders>
            <w:shd w:val="clear" w:color="000000" w:fill="FFFFFF"/>
            <w:noWrap/>
            <w:vAlign w:val="bottom"/>
            <w:hideMark/>
          </w:tcPr>
          <w:p w14:paraId="2AEFEC7A"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1,561</w:t>
            </w:r>
          </w:p>
        </w:tc>
        <w:tc>
          <w:tcPr>
            <w:tcW w:w="900" w:type="dxa"/>
            <w:tcBorders>
              <w:top w:val="nil"/>
              <w:left w:val="nil"/>
              <w:bottom w:val="single" w:sz="4" w:space="0" w:color="auto"/>
              <w:right w:val="nil"/>
            </w:tcBorders>
            <w:shd w:val="clear" w:color="000000" w:fill="FFFFFF"/>
            <w:noWrap/>
            <w:vAlign w:val="bottom"/>
            <w:hideMark/>
          </w:tcPr>
          <w:p w14:paraId="514FCDF9"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1,589</w:t>
            </w:r>
          </w:p>
        </w:tc>
        <w:tc>
          <w:tcPr>
            <w:tcW w:w="880" w:type="dxa"/>
            <w:tcBorders>
              <w:top w:val="nil"/>
              <w:left w:val="nil"/>
              <w:bottom w:val="single" w:sz="4" w:space="0" w:color="auto"/>
              <w:right w:val="nil"/>
            </w:tcBorders>
            <w:shd w:val="clear" w:color="000000" w:fill="FFFFFF"/>
            <w:noWrap/>
            <w:vAlign w:val="bottom"/>
            <w:hideMark/>
          </w:tcPr>
          <w:p w14:paraId="7D9DB87F"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1,579</w:t>
            </w:r>
          </w:p>
        </w:tc>
        <w:tc>
          <w:tcPr>
            <w:tcW w:w="920" w:type="dxa"/>
            <w:tcBorders>
              <w:top w:val="nil"/>
              <w:left w:val="nil"/>
              <w:bottom w:val="single" w:sz="4" w:space="0" w:color="auto"/>
              <w:right w:val="nil"/>
            </w:tcBorders>
            <w:shd w:val="clear" w:color="000000" w:fill="FFFFFF"/>
            <w:noWrap/>
            <w:vAlign w:val="bottom"/>
            <w:hideMark/>
          </w:tcPr>
          <w:p w14:paraId="26BBE7AF"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1,628</w:t>
            </w:r>
          </w:p>
        </w:tc>
        <w:tc>
          <w:tcPr>
            <w:tcW w:w="880" w:type="dxa"/>
            <w:tcBorders>
              <w:top w:val="nil"/>
              <w:left w:val="nil"/>
              <w:bottom w:val="single" w:sz="4" w:space="0" w:color="auto"/>
              <w:right w:val="nil"/>
            </w:tcBorders>
            <w:shd w:val="clear" w:color="000000" w:fill="FFFFFF"/>
            <w:noWrap/>
            <w:vAlign w:val="bottom"/>
            <w:hideMark/>
          </w:tcPr>
          <w:p w14:paraId="11B3EEAE"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2,064</w:t>
            </w:r>
          </w:p>
        </w:tc>
        <w:tc>
          <w:tcPr>
            <w:tcW w:w="880" w:type="dxa"/>
            <w:tcBorders>
              <w:top w:val="nil"/>
              <w:left w:val="nil"/>
              <w:bottom w:val="single" w:sz="4" w:space="0" w:color="auto"/>
              <w:right w:val="nil"/>
            </w:tcBorders>
            <w:shd w:val="clear" w:color="000000" w:fill="FFFFFF"/>
            <w:noWrap/>
            <w:vAlign w:val="bottom"/>
            <w:hideMark/>
          </w:tcPr>
          <w:p w14:paraId="3ED85557"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2,095</w:t>
            </w:r>
          </w:p>
        </w:tc>
        <w:tc>
          <w:tcPr>
            <w:tcW w:w="920" w:type="dxa"/>
            <w:tcBorders>
              <w:top w:val="nil"/>
              <w:left w:val="nil"/>
              <w:bottom w:val="single" w:sz="4" w:space="0" w:color="auto"/>
              <w:right w:val="nil"/>
            </w:tcBorders>
            <w:shd w:val="clear" w:color="000000" w:fill="FFFFFF"/>
            <w:noWrap/>
            <w:vAlign w:val="bottom"/>
            <w:hideMark/>
          </w:tcPr>
          <w:p w14:paraId="0C4EB311"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2,153</w:t>
            </w:r>
          </w:p>
        </w:tc>
        <w:tc>
          <w:tcPr>
            <w:tcW w:w="880" w:type="dxa"/>
            <w:tcBorders>
              <w:top w:val="nil"/>
              <w:left w:val="nil"/>
              <w:bottom w:val="single" w:sz="4" w:space="0" w:color="auto"/>
              <w:right w:val="nil"/>
            </w:tcBorders>
            <w:shd w:val="clear" w:color="000000" w:fill="FFFFFF"/>
            <w:noWrap/>
            <w:vAlign w:val="bottom"/>
            <w:hideMark/>
          </w:tcPr>
          <w:p w14:paraId="42383917"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2,055</w:t>
            </w:r>
          </w:p>
        </w:tc>
        <w:tc>
          <w:tcPr>
            <w:tcW w:w="1257" w:type="dxa"/>
            <w:tcBorders>
              <w:top w:val="nil"/>
              <w:left w:val="nil"/>
              <w:bottom w:val="single" w:sz="4" w:space="0" w:color="auto"/>
              <w:right w:val="single" w:sz="4" w:space="0" w:color="auto"/>
            </w:tcBorders>
            <w:shd w:val="clear" w:color="000000" w:fill="FFFFFF"/>
            <w:noWrap/>
            <w:vAlign w:val="bottom"/>
            <w:hideMark/>
          </w:tcPr>
          <w:p w14:paraId="01F2FDC0"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2,055</w:t>
            </w:r>
          </w:p>
        </w:tc>
      </w:tr>
      <w:tr w:rsidR="00432C73" w:rsidRPr="00432C73" w14:paraId="24CA7B7D" w14:textId="77777777" w:rsidTr="005206E0">
        <w:trPr>
          <w:trHeight w:val="225"/>
        </w:trPr>
        <w:tc>
          <w:tcPr>
            <w:tcW w:w="1260" w:type="dxa"/>
            <w:tcBorders>
              <w:top w:val="nil"/>
              <w:left w:val="single" w:sz="4" w:space="0" w:color="auto"/>
              <w:bottom w:val="nil"/>
              <w:right w:val="nil"/>
            </w:tcBorders>
            <w:shd w:val="clear" w:color="000000" w:fill="FFFFFF"/>
            <w:noWrap/>
            <w:vAlign w:val="bottom"/>
            <w:hideMark/>
          </w:tcPr>
          <w:p w14:paraId="5329602A" w14:textId="77777777" w:rsidR="00432C73" w:rsidRPr="00432C73" w:rsidRDefault="00432C73" w:rsidP="00432C73">
            <w:pPr>
              <w:spacing w:after="0" w:line="240" w:lineRule="auto"/>
              <w:rPr>
                <w:b/>
                <w:bCs/>
                <w:color w:val="000000"/>
                <w:sz w:val="16"/>
                <w:szCs w:val="16"/>
                <w:lang w:eastAsia="en-GB"/>
              </w:rPr>
            </w:pPr>
            <w:r w:rsidRPr="00432C73">
              <w:rPr>
                <w:b/>
                <w:bCs/>
                <w:color w:val="000000"/>
                <w:sz w:val="16"/>
                <w:szCs w:val="16"/>
                <w:lang w:eastAsia="en-GB"/>
              </w:rPr>
              <w:t>other Embassies</w:t>
            </w:r>
          </w:p>
        </w:tc>
        <w:tc>
          <w:tcPr>
            <w:tcW w:w="1380" w:type="dxa"/>
            <w:tcBorders>
              <w:top w:val="nil"/>
              <w:left w:val="nil"/>
              <w:bottom w:val="nil"/>
              <w:right w:val="nil"/>
            </w:tcBorders>
            <w:shd w:val="clear" w:color="000000" w:fill="FFFFFF"/>
            <w:noWrap/>
            <w:vAlign w:val="bottom"/>
            <w:hideMark/>
          </w:tcPr>
          <w:p w14:paraId="755AFF40" w14:textId="77777777" w:rsidR="00432C73" w:rsidRPr="00432C73" w:rsidRDefault="00432C73" w:rsidP="00432C73">
            <w:pPr>
              <w:spacing w:after="0" w:line="240" w:lineRule="auto"/>
              <w:rPr>
                <w:sz w:val="16"/>
                <w:szCs w:val="16"/>
                <w:lang w:eastAsia="en-GB"/>
              </w:rPr>
            </w:pPr>
            <w:r w:rsidRPr="00432C73">
              <w:rPr>
                <w:sz w:val="16"/>
                <w:szCs w:val="16"/>
                <w:lang w:eastAsia="en-GB"/>
              </w:rPr>
              <w:t>Opening Debtors</w:t>
            </w:r>
          </w:p>
        </w:tc>
        <w:tc>
          <w:tcPr>
            <w:tcW w:w="960" w:type="dxa"/>
            <w:tcBorders>
              <w:top w:val="nil"/>
              <w:left w:val="nil"/>
              <w:bottom w:val="nil"/>
              <w:right w:val="nil"/>
            </w:tcBorders>
            <w:shd w:val="clear" w:color="000000" w:fill="FFFFFF"/>
            <w:noWrap/>
            <w:vAlign w:val="bottom"/>
            <w:hideMark/>
          </w:tcPr>
          <w:p w14:paraId="3EFF2BD7"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578</w:t>
            </w:r>
          </w:p>
        </w:tc>
        <w:tc>
          <w:tcPr>
            <w:tcW w:w="920" w:type="dxa"/>
            <w:tcBorders>
              <w:top w:val="nil"/>
              <w:left w:val="nil"/>
              <w:bottom w:val="nil"/>
              <w:right w:val="nil"/>
            </w:tcBorders>
            <w:shd w:val="clear" w:color="000000" w:fill="FFFFFF"/>
            <w:noWrap/>
            <w:vAlign w:val="bottom"/>
            <w:hideMark/>
          </w:tcPr>
          <w:p w14:paraId="5E41BF08"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595</w:t>
            </w:r>
          </w:p>
        </w:tc>
        <w:tc>
          <w:tcPr>
            <w:tcW w:w="900" w:type="dxa"/>
            <w:tcBorders>
              <w:top w:val="nil"/>
              <w:left w:val="nil"/>
              <w:bottom w:val="nil"/>
              <w:right w:val="nil"/>
            </w:tcBorders>
            <w:shd w:val="clear" w:color="000000" w:fill="FFFFFF"/>
            <w:noWrap/>
            <w:vAlign w:val="bottom"/>
            <w:hideMark/>
          </w:tcPr>
          <w:p w14:paraId="1B4A6D46"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684</w:t>
            </w:r>
          </w:p>
        </w:tc>
        <w:tc>
          <w:tcPr>
            <w:tcW w:w="920" w:type="dxa"/>
            <w:tcBorders>
              <w:top w:val="nil"/>
              <w:left w:val="nil"/>
              <w:bottom w:val="nil"/>
              <w:right w:val="nil"/>
            </w:tcBorders>
            <w:shd w:val="clear" w:color="000000" w:fill="FFFFFF"/>
            <w:noWrap/>
            <w:vAlign w:val="bottom"/>
            <w:hideMark/>
          </w:tcPr>
          <w:p w14:paraId="114EE854"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692</w:t>
            </w:r>
          </w:p>
        </w:tc>
        <w:tc>
          <w:tcPr>
            <w:tcW w:w="880" w:type="dxa"/>
            <w:tcBorders>
              <w:top w:val="nil"/>
              <w:left w:val="nil"/>
              <w:bottom w:val="nil"/>
              <w:right w:val="nil"/>
            </w:tcBorders>
            <w:shd w:val="clear" w:color="000000" w:fill="FFFFFF"/>
            <w:noWrap/>
            <w:vAlign w:val="bottom"/>
            <w:hideMark/>
          </w:tcPr>
          <w:p w14:paraId="1B33A673"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647</w:t>
            </w:r>
          </w:p>
        </w:tc>
        <w:tc>
          <w:tcPr>
            <w:tcW w:w="900" w:type="dxa"/>
            <w:tcBorders>
              <w:top w:val="nil"/>
              <w:left w:val="nil"/>
              <w:bottom w:val="nil"/>
              <w:right w:val="nil"/>
            </w:tcBorders>
            <w:shd w:val="clear" w:color="000000" w:fill="FFFFFF"/>
            <w:noWrap/>
            <w:vAlign w:val="bottom"/>
            <w:hideMark/>
          </w:tcPr>
          <w:p w14:paraId="27854BA4"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873</w:t>
            </w:r>
          </w:p>
        </w:tc>
        <w:tc>
          <w:tcPr>
            <w:tcW w:w="880" w:type="dxa"/>
            <w:tcBorders>
              <w:top w:val="nil"/>
              <w:left w:val="nil"/>
              <w:bottom w:val="nil"/>
              <w:right w:val="nil"/>
            </w:tcBorders>
            <w:shd w:val="clear" w:color="000000" w:fill="FFFFFF"/>
            <w:noWrap/>
            <w:vAlign w:val="bottom"/>
            <w:hideMark/>
          </w:tcPr>
          <w:p w14:paraId="3FB39F74"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887</w:t>
            </w:r>
          </w:p>
        </w:tc>
        <w:tc>
          <w:tcPr>
            <w:tcW w:w="920" w:type="dxa"/>
            <w:tcBorders>
              <w:top w:val="nil"/>
              <w:left w:val="nil"/>
              <w:bottom w:val="nil"/>
              <w:right w:val="nil"/>
            </w:tcBorders>
            <w:shd w:val="clear" w:color="000000" w:fill="FFFFFF"/>
            <w:noWrap/>
            <w:vAlign w:val="bottom"/>
            <w:hideMark/>
          </w:tcPr>
          <w:p w14:paraId="68F90CEA"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910</w:t>
            </w:r>
          </w:p>
        </w:tc>
        <w:tc>
          <w:tcPr>
            <w:tcW w:w="880" w:type="dxa"/>
            <w:tcBorders>
              <w:top w:val="nil"/>
              <w:left w:val="nil"/>
              <w:bottom w:val="nil"/>
              <w:right w:val="nil"/>
            </w:tcBorders>
            <w:shd w:val="clear" w:color="000000" w:fill="FFFFFF"/>
            <w:noWrap/>
            <w:vAlign w:val="bottom"/>
            <w:hideMark/>
          </w:tcPr>
          <w:p w14:paraId="35715CCD"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892</w:t>
            </w:r>
          </w:p>
        </w:tc>
        <w:tc>
          <w:tcPr>
            <w:tcW w:w="880" w:type="dxa"/>
            <w:tcBorders>
              <w:top w:val="nil"/>
              <w:left w:val="nil"/>
              <w:bottom w:val="nil"/>
              <w:right w:val="nil"/>
            </w:tcBorders>
            <w:shd w:val="clear" w:color="000000" w:fill="FFFFFF"/>
            <w:noWrap/>
            <w:vAlign w:val="bottom"/>
            <w:hideMark/>
          </w:tcPr>
          <w:p w14:paraId="5901FE9C"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938</w:t>
            </w:r>
          </w:p>
        </w:tc>
        <w:tc>
          <w:tcPr>
            <w:tcW w:w="920" w:type="dxa"/>
            <w:tcBorders>
              <w:top w:val="nil"/>
              <w:left w:val="nil"/>
              <w:bottom w:val="nil"/>
              <w:right w:val="nil"/>
            </w:tcBorders>
            <w:shd w:val="clear" w:color="000000" w:fill="FFFFFF"/>
            <w:noWrap/>
            <w:vAlign w:val="bottom"/>
            <w:hideMark/>
          </w:tcPr>
          <w:p w14:paraId="3C919438"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916</w:t>
            </w:r>
          </w:p>
        </w:tc>
        <w:tc>
          <w:tcPr>
            <w:tcW w:w="880" w:type="dxa"/>
            <w:tcBorders>
              <w:top w:val="nil"/>
              <w:left w:val="nil"/>
              <w:bottom w:val="nil"/>
              <w:right w:val="nil"/>
            </w:tcBorders>
            <w:shd w:val="clear" w:color="000000" w:fill="FFFFFF"/>
            <w:noWrap/>
            <w:vAlign w:val="bottom"/>
            <w:hideMark/>
          </w:tcPr>
          <w:p w14:paraId="37EFF140"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884</w:t>
            </w:r>
          </w:p>
        </w:tc>
        <w:tc>
          <w:tcPr>
            <w:tcW w:w="1257" w:type="dxa"/>
            <w:tcBorders>
              <w:top w:val="nil"/>
              <w:left w:val="nil"/>
              <w:bottom w:val="nil"/>
              <w:right w:val="single" w:sz="4" w:space="0" w:color="auto"/>
            </w:tcBorders>
            <w:shd w:val="clear" w:color="000000" w:fill="FFFFFF"/>
            <w:noWrap/>
            <w:vAlign w:val="bottom"/>
            <w:hideMark/>
          </w:tcPr>
          <w:p w14:paraId="0B06F3FA"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578</w:t>
            </w:r>
          </w:p>
        </w:tc>
      </w:tr>
      <w:tr w:rsidR="00432C73" w:rsidRPr="00432C73" w14:paraId="5582D12B" w14:textId="77777777" w:rsidTr="005206E0">
        <w:trPr>
          <w:trHeight w:val="225"/>
        </w:trPr>
        <w:tc>
          <w:tcPr>
            <w:tcW w:w="1260" w:type="dxa"/>
            <w:tcBorders>
              <w:top w:val="nil"/>
              <w:left w:val="single" w:sz="4" w:space="0" w:color="auto"/>
              <w:bottom w:val="nil"/>
              <w:right w:val="nil"/>
            </w:tcBorders>
            <w:shd w:val="clear" w:color="000000" w:fill="FFFFFF"/>
            <w:noWrap/>
            <w:vAlign w:val="bottom"/>
            <w:hideMark/>
          </w:tcPr>
          <w:p w14:paraId="06F030B2" w14:textId="77777777" w:rsidR="00432C73" w:rsidRPr="00432C73" w:rsidRDefault="00432C73" w:rsidP="00432C73">
            <w:pPr>
              <w:spacing w:after="0" w:line="240" w:lineRule="auto"/>
              <w:rPr>
                <w:b/>
                <w:bCs/>
                <w:color w:val="000000"/>
                <w:sz w:val="16"/>
                <w:szCs w:val="16"/>
                <w:lang w:eastAsia="en-GB"/>
              </w:rPr>
            </w:pPr>
            <w:r w:rsidRPr="00432C73">
              <w:rPr>
                <w:b/>
                <w:bCs/>
                <w:color w:val="000000"/>
                <w:sz w:val="16"/>
                <w:szCs w:val="16"/>
                <w:lang w:eastAsia="en-GB"/>
              </w:rPr>
              <w:t> </w:t>
            </w:r>
          </w:p>
        </w:tc>
        <w:tc>
          <w:tcPr>
            <w:tcW w:w="1380" w:type="dxa"/>
            <w:tcBorders>
              <w:top w:val="nil"/>
              <w:left w:val="nil"/>
              <w:bottom w:val="nil"/>
              <w:right w:val="nil"/>
            </w:tcBorders>
            <w:shd w:val="clear" w:color="000000" w:fill="FFFFFF"/>
            <w:noWrap/>
            <w:vAlign w:val="bottom"/>
            <w:hideMark/>
          </w:tcPr>
          <w:p w14:paraId="4788DEAD" w14:textId="77777777" w:rsidR="00432C73" w:rsidRPr="00432C73" w:rsidRDefault="00432C73" w:rsidP="00432C73">
            <w:pPr>
              <w:spacing w:after="0" w:line="240" w:lineRule="auto"/>
              <w:rPr>
                <w:sz w:val="16"/>
                <w:szCs w:val="16"/>
                <w:lang w:eastAsia="en-GB"/>
              </w:rPr>
            </w:pPr>
            <w:r w:rsidRPr="00432C73">
              <w:rPr>
                <w:sz w:val="16"/>
                <w:szCs w:val="16"/>
                <w:lang w:eastAsia="en-GB"/>
              </w:rPr>
              <w:t>Invoices</w:t>
            </w:r>
          </w:p>
        </w:tc>
        <w:tc>
          <w:tcPr>
            <w:tcW w:w="960" w:type="dxa"/>
            <w:tcBorders>
              <w:top w:val="nil"/>
              <w:left w:val="nil"/>
              <w:bottom w:val="nil"/>
              <w:right w:val="nil"/>
            </w:tcBorders>
            <w:shd w:val="clear" w:color="000000" w:fill="FFFFFF"/>
            <w:noWrap/>
            <w:vAlign w:val="bottom"/>
            <w:hideMark/>
          </w:tcPr>
          <w:p w14:paraId="68D36DA9"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31</w:t>
            </w:r>
          </w:p>
        </w:tc>
        <w:tc>
          <w:tcPr>
            <w:tcW w:w="920" w:type="dxa"/>
            <w:tcBorders>
              <w:top w:val="nil"/>
              <w:left w:val="nil"/>
              <w:bottom w:val="nil"/>
              <w:right w:val="nil"/>
            </w:tcBorders>
            <w:shd w:val="clear" w:color="000000" w:fill="FFFFFF"/>
            <w:noWrap/>
            <w:vAlign w:val="bottom"/>
            <w:hideMark/>
          </w:tcPr>
          <w:p w14:paraId="1222CBEE"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105</w:t>
            </w:r>
          </w:p>
        </w:tc>
        <w:tc>
          <w:tcPr>
            <w:tcW w:w="900" w:type="dxa"/>
            <w:tcBorders>
              <w:top w:val="nil"/>
              <w:left w:val="nil"/>
              <w:bottom w:val="nil"/>
              <w:right w:val="nil"/>
            </w:tcBorders>
            <w:shd w:val="clear" w:color="000000" w:fill="FFFFFF"/>
            <w:noWrap/>
            <w:vAlign w:val="bottom"/>
            <w:hideMark/>
          </w:tcPr>
          <w:p w14:paraId="5BF633A3"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13</w:t>
            </w:r>
          </w:p>
        </w:tc>
        <w:tc>
          <w:tcPr>
            <w:tcW w:w="920" w:type="dxa"/>
            <w:tcBorders>
              <w:top w:val="nil"/>
              <w:left w:val="nil"/>
              <w:bottom w:val="nil"/>
              <w:right w:val="nil"/>
            </w:tcBorders>
            <w:shd w:val="clear" w:color="000000" w:fill="FFFFFF"/>
            <w:noWrap/>
            <w:vAlign w:val="bottom"/>
            <w:hideMark/>
          </w:tcPr>
          <w:p w14:paraId="0F27EDAD"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16</w:t>
            </w:r>
          </w:p>
        </w:tc>
        <w:tc>
          <w:tcPr>
            <w:tcW w:w="880" w:type="dxa"/>
            <w:tcBorders>
              <w:top w:val="nil"/>
              <w:left w:val="nil"/>
              <w:bottom w:val="nil"/>
              <w:right w:val="nil"/>
            </w:tcBorders>
            <w:shd w:val="clear" w:color="000000" w:fill="FFFFFF"/>
            <w:noWrap/>
            <w:vAlign w:val="bottom"/>
            <w:hideMark/>
          </w:tcPr>
          <w:p w14:paraId="09D5CA30"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316</w:t>
            </w:r>
          </w:p>
        </w:tc>
        <w:tc>
          <w:tcPr>
            <w:tcW w:w="900" w:type="dxa"/>
            <w:tcBorders>
              <w:top w:val="nil"/>
              <w:left w:val="nil"/>
              <w:bottom w:val="nil"/>
              <w:right w:val="nil"/>
            </w:tcBorders>
            <w:shd w:val="clear" w:color="000000" w:fill="FFFFFF"/>
            <w:noWrap/>
            <w:vAlign w:val="bottom"/>
            <w:hideMark/>
          </w:tcPr>
          <w:p w14:paraId="69BA39B9"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59</w:t>
            </w:r>
          </w:p>
        </w:tc>
        <w:tc>
          <w:tcPr>
            <w:tcW w:w="880" w:type="dxa"/>
            <w:tcBorders>
              <w:top w:val="nil"/>
              <w:left w:val="nil"/>
              <w:bottom w:val="nil"/>
              <w:right w:val="nil"/>
            </w:tcBorders>
            <w:shd w:val="clear" w:color="000000" w:fill="FFFFFF"/>
            <w:noWrap/>
            <w:vAlign w:val="bottom"/>
            <w:hideMark/>
          </w:tcPr>
          <w:p w14:paraId="28456771"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40</w:t>
            </w:r>
          </w:p>
        </w:tc>
        <w:tc>
          <w:tcPr>
            <w:tcW w:w="920" w:type="dxa"/>
            <w:tcBorders>
              <w:top w:val="nil"/>
              <w:left w:val="nil"/>
              <w:bottom w:val="nil"/>
              <w:right w:val="nil"/>
            </w:tcBorders>
            <w:shd w:val="clear" w:color="000000" w:fill="FFFFFF"/>
            <w:noWrap/>
            <w:vAlign w:val="bottom"/>
            <w:hideMark/>
          </w:tcPr>
          <w:p w14:paraId="099E2FD9"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5</w:t>
            </w:r>
          </w:p>
        </w:tc>
        <w:tc>
          <w:tcPr>
            <w:tcW w:w="880" w:type="dxa"/>
            <w:tcBorders>
              <w:top w:val="nil"/>
              <w:left w:val="nil"/>
              <w:bottom w:val="nil"/>
              <w:right w:val="nil"/>
            </w:tcBorders>
            <w:shd w:val="clear" w:color="000000" w:fill="FFFFFF"/>
            <w:noWrap/>
            <w:vAlign w:val="bottom"/>
            <w:hideMark/>
          </w:tcPr>
          <w:p w14:paraId="149E4A7D"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41</w:t>
            </w:r>
          </w:p>
        </w:tc>
        <w:tc>
          <w:tcPr>
            <w:tcW w:w="880" w:type="dxa"/>
            <w:tcBorders>
              <w:top w:val="nil"/>
              <w:left w:val="nil"/>
              <w:bottom w:val="nil"/>
              <w:right w:val="nil"/>
            </w:tcBorders>
            <w:shd w:val="clear" w:color="000000" w:fill="FFFFFF"/>
            <w:noWrap/>
            <w:vAlign w:val="bottom"/>
            <w:hideMark/>
          </w:tcPr>
          <w:p w14:paraId="179C48CC"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4</w:t>
            </w:r>
          </w:p>
        </w:tc>
        <w:tc>
          <w:tcPr>
            <w:tcW w:w="920" w:type="dxa"/>
            <w:tcBorders>
              <w:top w:val="nil"/>
              <w:left w:val="nil"/>
              <w:bottom w:val="nil"/>
              <w:right w:val="nil"/>
            </w:tcBorders>
            <w:shd w:val="clear" w:color="000000" w:fill="FFFFFF"/>
            <w:noWrap/>
            <w:vAlign w:val="bottom"/>
            <w:hideMark/>
          </w:tcPr>
          <w:p w14:paraId="61A1741A"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15</w:t>
            </w:r>
          </w:p>
        </w:tc>
        <w:tc>
          <w:tcPr>
            <w:tcW w:w="880" w:type="dxa"/>
            <w:tcBorders>
              <w:top w:val="nil"/>
              <w:left w:val="nil"/>
              <w:bottom w:val="nil"/>
              <w:right w:val="nil"/>
            </w:tcBorders>
            <w:shd w:val="clear" w:color="000000" w:fill="FFFFFF"/>
            <w:noWrap/>
            <w:vAlign w:val="bottom"/>
            <w:hideMark/>
          </w:tcPr>
          <w:p w14:paraId="09EFF9EB"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6</w:t>
            </w:r>
          </w:p>
        </w:tc>
        <w:tc>
          <w:tcPr>
            <w:tcW w:w="1257" w:type="dxa"/>
            <w:tcBorders>
              <w:top w:val="nil"/>
              <w:left w:val="nil"/>
              <w:bottom w:val="nil"/>
              <w:right w:val="single" w:sz="4" w:space="0" w:color="auto"/>
            </w:tcBorders>
            <w:shd w:val="clear" w:color="000000" w:fill="FFFFFF"/>
            <w:noWrap/>
            <w:vAlign w:val="bottom"/>
            <w:hideMark/>
          </w:tcPr>
          <w:p w14:paraId="56535222"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649</w:t>
            </w:r>
          </w:p>
        </w:tc>
      </w:tr>
      <w:tr w:rsidR="00432C73" w:rsidRPr="00432C73" w14:paraId="0CC1E29D" w14:textId="77777777" w:rsidTr="005206E0">
        <w:trPr>
          <w:trHeight w:val="225"/>
        </w:trPr>
        <w:tc>
          <w:tcPr>
            <w:tcW w:w="1260" w:type="dxa"/>
            <w:tcBorders>
              <w:top w:val="nil"/>
              <w:left w:val="single" w:sz="4" w:space="0" w:color="auto"/>
              <w:bottom w:val="nil"/>
              <w:right w:val="nil"/>
            </w:tcBorders>
            <w:shd w:val="clear" w:color="000000" w:fill="FFFFFF"/>
            <w:noWrap/>
            <w:vAlign w:val="bottom"/>
            <w:hideMark/>
          </w:tcPr>
          <w:p w14:paraId="169F5144" w14:textId="77777777" w:rsidR="00432C73" w:rsidRPr="00432C73" w:rsidRDefault="00432C73" w:rsidP="00432C73">
            <w:pPr>
              <w:spacing w:after="0" w:line="240" w:lineRule="auto"/>
              <w:rPr>
                <w:b/>
                <w:bCs/>
                <w:color w:val="000000"/>
                <w:sz w:val="16"/>
                <w:szCs w:val="16"/>
                <w:lang w:eastAsia="en-GB"/>
              </w:rPr>
            </w:pPr>
            <w:r w:rsidRPr="00432C73">
              <w:rPr>
                <w:b/>
                <w:bCs/>
                <w:color w:val="000000"/>
                <w:sz w:val="16"/>
                <w:szCs w:val="16"/>
                <w:lang w:eastAsia="en-GB"/>
              </w:rPr>
              <w:t> </w:t>
            </w:r>
          </w:p>
        </w:tc>
        <w:tc>
          <w:tcPr>
            <w:tcW w:w="1380" w:type="dxa"/>
            <w:tcBorders>
              <w:top w:val="nil"/>
              <w:left w:val="nil"/>
              <w:bottom w:val="nil"/>
              <w:right w:val="nil"/>
            </w:tcBorders>
            <w:shd w:val="clear" w:color="000000" w:fill="FFFFFF"/>
            <w:noWrap/>
            <w:vAlign w:val="bottom"/>
            <w:hideMark/>
          </w:tcPr>
          <w:p w14:paraId="78FD4DBB" w14:textId="77777777" w:rsidR="00432C73" w:rsidRPr="00432C73" w:rsidRDefault="00432C73" w:rsidP="00432C73">
            <w:pPr>
              <w:spacing w:after="0" w:line="240" w:lineRule="auto"/>
              <w:rPr>
                <w:sz w:val="16"/>
                <w:szCs w:val="16"/>
                <w:lang w:eastAsia="en-GB"/>
              </w:rPr>
            </w:pPr>
            <w:r w:rsidRPr="00432C73">
              <w:rPr>
                <w:sz w:val="16"/>
                <w:szCs w:val="16"/>
                <w:lang w:eastAsia="en-GB"/>
              </w:rPr>
              <w:t>Payments</w:t>
            </w:r>
          </w:p>
        </w:tc>
        <w:tc>
          <w:tcPr>
            <w:tcW w:w="960" w:type="dxa"/>
            <w:tcBorders>
              <w:top w:val="nil"/>
              <w:left w:val="nil"/>
              <w:bottom w:val="nil"/>
              <w:right w:val="nil"/>
            </w:tcBorders>
            <w:shd w:val="clear" w:color="000000" w:fill="FFFFFF"/>
            <w:noWrap/>
            <w:vAlign w:val="bottom"/>
            <w:hideMark/>
          </w:tcPr>
          <w:p w14:paraId="289BE955"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(11)</w:t>
            </w:r>
          </w:p>
        </w:tc>
        <w:tc>
          <w:tcPr>
            <w:tcW w:w="920" w:type="dxa"/>
            <w:tcBorders>
              <w:top w:val="nil"/>
              <w:left w:val="nil"/>
              <w:bottom w:val="nil"/>
              <w:right w:val="nil"/>
            </w:tcBorders>
            <w:shd w:val="clear" w:color="000000" w:fill="FFFFFF"/>
            <w:noWrap/>
            <w:vAlign w:val="bottom"/>
            <w:hideMark/>
          </w:tcPr>
          <w:p w14:paraId="00533906"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(14)</w:t>
            </w:r>
          </w:p>
        </w:tc>
        <w:tc>
          <w:tcPr>
            <w:tcW w:w="900" w:type="dxa"/>
            <w:tcBorders>
              <w:top w:val="nil"/>
              <w:left w:val="nil"/>
              <w:bottom w:val="nil"/>
              <w:right w:val="nil"/>
            </w:tcBorders>
            <w:shd w:val="clear" w:color="000000" w:fill="FFFFFF"/>
            <w:noWrap/>
            <w:vAlign w:val="bottom"/>
            <w:hideMark/>
          </w:tcPr>
          <w:p w14:paraId="13BF582D"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(7)</w:t>
            </w:r>
          </w:p>
        </w:tc>
        <w:tc>
          <w:tcPr>
            <w:tcW w:w="920" w:type="dxa"/>
            <w:tcBorders>
              <w:top w:val="nil"/>
              <w:left w:val="nil"/>
              <w:bottom w:val="nil"/>
              <w:right w:val="nil"/>
            </w:tcBorders>
            <w:shd w:val="clear" w:color="000000" w:fill="FFFFFF"/>
            <w:noWrap/>
            <w:vAlign w:val="bottom"/>
            <w:hideMark/>
          </w:tcPr>
          <w:p w14:paraId="2EA66448"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(61)</w:t>
            </w:r>
          </w:p>
        </w:tc>
        <w:tc>
          <w:tcPr>
            <w:tcW w:w="880" w:type="dxa"/>
            <w:tcBorders>
              <w:top w:val="nil"/>
              <w:left w:val="nil"/>
              <w:bottom w:val="nil"/>
              <w:right w:val="nil"/>
            </w:tcBorders>
            <w:shd w:val="clear" w:color="000000" w:fill="FFFFFF"/>
            <w:noWrap/>
            <w:vAlign w:val="bottom"/>
            <w:hideMark/>
          </w:tcPr>
          <w:p w14:paraId="4061ED43"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(90)</w:t>
            </w:r>
          </w:p>
        </w:tc>
        <w:tc>
          <w:tcPr>
            <w:tcW w:w="900" w:type="dxa"/>
            <w:tcBorders>
              <w:top w:val="nil"/>
              <w:left w:val="nil"/>
              <w:bottom w:val="nil"/>
              <w:right w:val="nil"/>
            </w:tcBorders>
            <w:shd w:val="clear" w:color="000000" w:fill="FFFFFF"/>
            <w:noWrap/>
            <w:vAlign w:val="bottom"/>
            <w:hideMark/>
          </w:tcPr>
          <w:p w14:paraId="07D7FDDB"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(44)</w:t>
            </w:r>
          </w:p>
        </w:tc>
        <w:tc>
          <w:tcPr>
            <w:tcW w:w="880" w:type="dxa"/>
            <w:tcBorders>
              <w:top w:val="nil"/>
              <w:left w:val="nil"/>
              <w:bottom w:val="nil"/>
              <w:right w:val="nil"/>
            </w:tcBorders>
            <w:shd w:val="clear" w:color="000000" w:fill="FFFFFF"/>
            <w:noWrap/>
            <w:vAlign w:val="bottom"/>
            <w:hideMark/>
          </w:tcPr>
          <w:p w14:paraId="04327E39"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(11)</w:t>
            </w:r>
          </w:p>
        </w:tc>
        <w:tc>
          <w:tcPr>
            <w:tcW w:w="920" w:type="dxa"/>
            <w:tcBorders>
              <w:top w:val="nil"/>
              <w:left w:val="nil"/>
              <w:bottom w:val="nil"/>
              <w:right w:val="nil"/>
            </w:tcBorders>
            <w:shd w:val="clear" w:color="000000" w:fill="FFFFFF"/>
            <w:noWrap/>
            <w:vAlign w:val="bottom"/>
            <w:hideMark/>
          </w:tcPr>
          <w:p w14:paraId="20210502"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(22)</w:t>
            </w:r>
          </w:p>
        </w:tc>
        <w:tc>
          <w:tcPr>
            <w:tcW w:w="880" w:type="dxa"/>
            <w:tcBorders>
              <w:top w:val="nil"/>
              <w:left w:val="nil"/>
              <w:bottom w:val="nil"/>
              <w:right w:val="nil"/>
            </w:tcBorders>
            <w:shd w:val="clear" w:color="000000" w:fill="FFFFFF"/>
            <w:noWrap/>
            <w:vAlign w:val="bottom"/>
            <w:hideMark/>
          </w:tcPr>
          <w:p w14:paraId="2DC9EF53"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(16)</w:t>
            </w:r>
          </w:p>
        </w:tc>
        <w:tc>
          <w:tcPr>
            <w:tcW w:w="880" w:type="dxa"/>
            <w:tcBorders>
              <w:top w:val="nil"/>
              <w:left w:val="nil"/>
              <w:bottom w:val="nil"/>
              <w:right w:val="nil"/>
            </w:tcBorders>
            <w:shd w:val="clear" w:color="000000" w:fill="FFFFFF"/>
            <w:noWrap/>
            <w:vAlign w:val="bottom"/>
            <w:hideMark/>
          </w:tcPr>
          <w:p w14:paraId="36EF1593"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(27)</w:t>
            </w:r>
          </w:p>
        </w:tc>
        <w:tc>
          <w:tcPr>
            <w:tcW w:w="920" w:type="dxa"/>
            <w:tcBorders>
              <w:top w:val="nil"/>
              <w:left w:val="nil"/>
              <w:bottom w:val="nil"/>
              <w:right w:val="nil"/>
            </w:tcBorders>
            <w:shd w:val="clear" w:color="000000" w:fill="FFFFFF"/>
            <w:noWrap/>
            <w:vAlign w:val="bottom"/>
            <w:hideMark/>
          </w:tcPr>
          <w:p w14:paraId="0D1B7AC1"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(48)</w:t>
            </w:r>
          </w:p>
        </w:tc>
        <w:tc>
          <w:tcPr>
            <w:tcW w:w="880" w:type="dxa"/>
            <w:tcBorders>
              <w:top w:val="nil"/>
              <w:left w:val="nil"/>
              <w:bottom w:val="nil"/>
              <w:right w:val="nil"/>
            </w:tcBorders>
            <w:shd w:val="clear" w:color="000000" w:fill="FFFFFF"/>
            <w:noWrap/>
            <w:vAlign w:val="bottom"/>
            <w:hideMark/>
          </w:tcPr>
          <w:p w14:paraId="7240E320"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(55)</w:t>
            </w:r>
          </w:p>
        </w:tc>
        <w:tc>
          <w:tcPr>
            <w:tcW w:w="1257" w:type="dxa"/>
            <w:tcBorders>
              <w:top w:val="nil"/>
              <w:left w:val="nil"/>
              <w:bottom w:val="nil"/>
              <w:right w:val="single" w:sz="4" w:space="0" w:color="auto"/>
            </w:tcBorders>
            <w:shd w:val="clear" w:color="000000" w:fill="FFFFFF"/>
            <w:noWrap/>
            <w:vAlign w:val="bottom"/>
            <w:hideMark/>
          </w:tcPr>
          <w:p w14:paraId="3E56387D"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(406)</w:t>
            </w:r>
          </w:p>
        </w:tc>
      </w:tr>
      <w:tr w:rsidR="00432C73" w:rsidRPr="00432C73" w14:paraId="5C767400" w14:textId="77777777" w:rsidTr="005206E0">
        <w:trPr>
          <w:trHeight w:val="225"/>
        </w:trPr>
        <w:tc>
          <w:tcPr>
            <w:tcW w:w="1260" w:type="dxa"/>
            <w:tcBorders>
              <w:top w:val="nil"/>
              <w:left w:val="single" w:sz="4" w:space="0" w:color="auto"/>
              <w:bottom w:val="single" w:sz="4" w:space="0" w:color="auto"/>
              <w:right w:val="nil"/>
            </w:tcBorders>
            <w:shd w:val="clear" w:color="000000" w:fill="FFFFFF"/>
            <w:noWrap/>
            <w:vAlign w:val="bottom"/>
            <w:hideMark/>
          </w:tcPr>
          <w:p w14:paraId="051F544A" w14:textId="77777777" w:rsidR="00432C73" w:rsidRPr="00432C73" w:rsidRDefault="00432C73" w:rsidP="00432C73">
            <w:pPr>
              <w:spacing w:after="0" w:line="240" w:lineRule="auto"/>
              <w:rPr>
                <w:b/>
                <w:bCs/>
                <w:color w:val="000000"/>
                <w:sz w:val="16"/>
                <w:szCs w:val="16"/>
                <w:lang w:eastAsia="en-GB"/>
              </w:rPr>
            </w:pPr>
            <w:r w:rsidRPr="00432C73">
              <w:rPr>
                <w:b/>
                <w:bCs/>
                <w:color w:val="000000"/>
                <w:sz w:val="16"/>
                <w:szCs w:val="16"/>
                <w:lang w:eastAsia="en-GB"/>
              </w:rPr>
              <w:t> </w:t>
            </w:r>
          </w:p>
        </w:tc>
        <w:tc>
          <w:tcPr>
            <w:tcW w:w="1380" w:type="dxa"/>
            <w:tcBorders>
              <w:top w:val="nil"/>
              <w:left w:val="nil"/>
              <w:bottom w:val="single" w:sz="4" w:space="0" w:color="auto"/>
              <w:right w:val="nil"/>
            </w:tcBorders>
            <w:shd w:val="clear" w:color="000000" w:fill="FFFFFF"/>
            <w:noWrap/>
            <w:vAlign w:val="bottom"/>
            <w:hideMark/>
          </w:tcPr>
          <w:p w14:paraId="1DF157A7" w14:textId="77777777" w:rsidR="00432C73" w:rsidRPr="00432C73" w:rsidRDefault="00432C73" w:rsidP="00432C73">
            <w:pPr>
              <w:spacing w:after="0" w:line="240" w:lineRule="auto"/>
              <w:rPr>
                <w:sz w:val="16"/>
                <w:szCs w:val="16"/>
                <w:lang w:eastAsia="en-GB"/>
              </w:rPr>
            </w:pPr>
            <w:r w:rsidRPr="00432C73">
              <w:rPr>
                <w:sz w:val="16"/>
                <w:szCs w:val="16"/>
                <w:lang w:eastAsia="en-GB"/>
              </w:rPr>
              <w:t>Closing Debtors</w:t>
            </w:r>
          </w:p>
        </w:tc>
        <w:tc>
          <w:tcPr>
            <w:tcW w:w="960" w:type="dxa"/>
            <w:tcBorders>
              <w:top w:val="nil"/>
              <w:left w:val="nil"/>
              <w:bottom w:val="single" w:sz="4" w:space="0" w:color="auto"/>
              <w:right w:val="nil"/>
            </w:tcBorders>
            <w:shd w:val="clear" w:color="000000" w:fill="FFFFFF"/>
            <w:noWrap/>
            <w:vAlign w:val="bottom"/>
            <w:hideMark/>
          </w:tcPr>
          <w:p w14:paraId="4EBC610F"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595</w:t>
            </w:r>
          </w:p>
        </w:tc>
        <w:tc>
          <w:tcPr>
            <w:tcW w:w="920" w:type="dxa"/>
            <w:tcBorders>
              <w:top w:val="nil"/>
              <w:left w:val="nil"/>
              <w:bottom w:val="single" w:sz="4" w:space="0" w:color="auto"/>
              <w:right w:val="nil"/>
            </w:tcBorders>
            <w:shd w:val="clear" w:color="000000" w:fill="FFFFFF"/>
            <w:noWrap/>
            <w:vAlign w:val="bottom"/>
            <w:hideMark/>
          </w:tcPr>
          <w:p w14:paraId="2BE4498D"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684</w:t>
            </w:r>
          </w:p>
        </w:tc>
        <w:tc>
          <w:tcPr>
            <w:tcW w:w="900" w:type="dxa"/>
            <w:tcBorders>
              <w:top w:val="nil"/>
              <w:left w:val="nil"/>
              <w:bottom w:val="single" w:sz="4" w:space="0" w:color="auto"/>
              <w:right w:val="nil"/>
            </w:tcBorders>
            <w:shd w:val="clear" w:color="000000" w:fill="FFFFFF"/>
            <w:noWrap/>
            <w:vAlign w:val="bottom"/>
            <w:hideMark/>
          </w:tcPr>
          <w:p w14:paraId="6FE67C8A"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692</w:t>
            </w:r>
          </w:p>
        </w:tc>
        <w:tc>
          <w:tcPr>
            <w:tcW w:w="920" w:type="dxa"/>
            <w:tcBorders>
              <w:top w:val="nil"/>
              <w:left w:val="nil"/>
              <w:bottom w:val="single" w:sz="4" w:space="0" w:color="auto"/>
              <w:right w:val="nil"/>
            </w:tcBorders>
            <w:shd w:val="clear" w:color="000000" w:fill="FFFFFF"/>
            <w:noWrap/>
            <w:vAlign w:val="bottom"/>
            <w:hideMark/>
          </w:tcPr>
          <w:p w14:paraId="78449D8F"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647</w:t>
            </w:r>
          </w:p>
        </w:tc>
        <w:tc>
          <w:tcPr>
            <w:tcW w:w="880" w:type="dxa"/>
            <w:tcBorders>
              <w:top w:val="nil"/>
              <w:left w:val="nil"/>
              <w:bottom w:val="single" w:sz="4" w:space="0" w:color="auto"/>
              <w:right w:val="nil"/>
            </w:tcBorders>
            <w:shd w:val="clear" w:color="000000" w:fill="FFFFFF"/>
            <w:noWrap/>
            <w:vAlign w:val="bottom"/>
            <w:hideMark/>
          </w:tcPr>
          <w:p w14:paraId="7B5D78A6"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873</w:t>
            </w:r>
          </w:p>
        </w:tc>
        <w:tc>
          <w:tcPr>
            <w:tcW w:w="900" w:type="dxa"/>
            <w:tcBorders>
              <w:top w:val="nil"/>
              <w:left w:val="nil"/>
              <w:bottom w:val="single" w:sz="4" w:space="0" w:color="auto"/>
              <w:right w:val="nil"/>
            </w:tcBorders>
            <w:shd w:val="clear" w:color="000000" w:fill="FFFFFF"/>
            <w:noWrap/>
            <w:vAlign w:val="bottom"/>
            <w:hideMark/>
          </w:tcPr>
          <w:p w14:paraId="4BEA6254"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887</w:t>
            </w:r>
          </w:p>
        </w:tc>
        <w:tc>
          <w:tcPr>
            <w:tcW w:w="880" w:type="dxa"/>
            <w:tcBorders>
              <w:top w:val="nil"/>
              <w:left w:val="nil"/>
              <w:bottom w:val="single" w:sz="4" w:space="0" w:color="auto"/>
              <w:right w:val="nil"/>
            </w:tcBorders>
            <w:shd w:val="clear" w:color="000000" w:fill="FFFFFF"/>
            <w:noWrap/>
            <w:vAlign w:val="bottom"/>
            <w:hideMark/>
          </w:tcPr>
          <w:p w14:paraId="79CB0B40"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910</w:t>
            </w:r>
          </w:p>
        </w:tc>
        <w:tc>
          <w:tcPr>
            <w:tcW w:w="920" w:type="dxa"/>
            <w:tcBorders>
              <w:top w:val="nil"/>
              <w:left w:val="nil"/>
              <w:bottom w:val="single" w:sz="4" w:space="0" w:color="auto"/>
              <w:right w:val="nil"/>
            </w:tcBorders>
            <w:shd w:val="clear" w:color="000000" w:fill="FFFFFF"/>
            <w:noWrap/>
            <w:vAlign w:val="bottom"/>
            <w:hideMark/>
          </w:tcPr>
          <w:p w14:paraId="7D7B952D"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892</w:t>
            </w:r>
          </w:p>
        </w:tc>
        <w:tc>
          <w:tcPr>
            <w:tcW w:w="880" w:type="dxa"/>
            <w:tcBorders>
              <w:top w:val="nil"/>
              <w:left w:val="nil"/>
              <w:bottom w:val="single" w:sz="4" w:space="0" w:color="auto"/>
              <w:right w:val="nil"/>
            </w:tcBorders>
            <w:shd w:val="clear" w:color="000000" w:fill="FFFFFF"/>
            <w:noWrap/>
            <w:vAlign w:val="bottom"/>
            <w:hideMark/>
          </w:tcPr>
          <w:p w14:paraId="0916D42A"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938</w:t>
            </w:r>
          </w:p>
        </w:tc>
        <w:tc>
          <w:tcPr>
            <w:tcW w:w="880" w:type="dxa"/>
            <w:tcBorders>
              <w:top w:val="nil"/>
              <w:left w:val="nil"/>
              <w:bottom w:val="single" w:sz="4" w:space="0" w:color="auto"/>
              <w:right w:val="nil"/>
            </w:tcBorders>
            <w:shd w:val="clear" w:color="000000" w:fill="FFFFFF"/>
            <w:noWrap/>
            <w:vAlign w:val="bottom"/>
            <w:hideMark/>
          </w:tcPr>
          <w:p w14:paraId="4BD609A0"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916</w:t>
            </w:r>
          </w:p>
        </w:tc>
        <w:tc>
          <w:tcPr>
            <w:tcW w:w="920" w:type="dxa"/>
            <w:tcBorders>
              <w:top w:val="nil"/>
              <w:left w:val="nil"/>
              <w:bottom w:val="single" w:sz="4" w:space="0" w:color="auto"/>
              <w:right w:val="nil"/>
            </w:tcBorders>
            <w:shd w:val="clear" w:color="000000" w:fill="FFFFFF"/>
            <w:noWrap/>
            <w:vAlign w:val="bottom"/>
            <w:hideMark/>
          </w:tcPr>
          <w:p w14:paraId="6D3C2C11"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884</w:t>
            </w:r>
          </w:p>
        </w:tc>
        <w:tc>
          <w:tcPr>
            <w:tcW w:w="880" w:type="dxa"/>
            <w:tcBorders>
              <w:top w:val="nil"/>
              <w:left w:val="nil"/>
              <w:bottom w:val="single" w:sz="4" w:space="0" w:color="auto"/>
              <w:right w:val="nil"/>
            </w:tcBorders>
            <w:shd w:val="clear" w:color="000000" w:fill="FFFFFF"/>
            <w:noWrap/>
            <w:vAlign w:val="bottom"/>
            <w:hideMark/>
          </w:tcPr>
          <w:p w14:paraId="38738C6D" w14:textId="77777777" w:rsidR="00432C73" w:rsidRPr="00432C73" w:rsidRDefault="00432C73" w:rsidP="00432C73">
            <w:pPr>
              <w:spacing w:after="0" w:line="240" w:lineRule="auto"/>
              <w:jc w:val="right"/>
              <w:rPr>
                <w:sz w:val="16"/>
                <w:szCs w:val="16"/>
                <w:lang w:eastAsia="en-GB"/>
              </w:rPr>
            </w:pPr>
            <w:r w:rsidRPr="00432C73">
              <w:rPr>
                <w:sz w:val="16"/>
                <w:szCs w:val="16"/>
                <w:lang w:eastAsia="en-GB"/>
              </w:rPr>
              <w:t>835</w:t>
            </w:r>
          </w:p>
        </w:tc>
        <w:tc>
          <w:tcPr>
            <w:tcW w:w="1257" w:type="dxa"/>
            <w:tcBorders>
              <w:top w:val="nil"/>
              <w:left w:val="nil"/>
              <w:bottom w:val="single" w:sz="4" w:space="0" w:color="auto"/>
              <w:right w:val="single" w:sz="4" w:space="0" w:color="auto"/>
            </w:tcBorders>
            <w:shd w:val="clear" w:color="000000" w:fill="FFFFFF"/>
            <w:noWrap/>
            <w:vAlign w:val="bottom"/>
            <w:hideMark/>
          </w:tcPr>
          <w:p w14:paraId="43DEFC00"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835</w:t>
            </w:r>
          </w:p>
        </w:tc>
      </w:tr>
      <w:tr w:rsidR="00432C73" w:rsidRPr="00432C73" w14:paraId="491F02D6" w14:textId="77777777" w:rsidTr="005206E0">
        <w:trPr>
          <w:trHeight w:val="225"/>
        </w:trPr>
        <w:tc>
          <w:tcPr>
            <w:tcW w:w="1260" w:type="dxa"/>
            <w:tcBorders>
              <w:top w:val="single" w:sz="4" w:space="0" w:color="auto"/>
              <w:left w:val="single" w:sz="4" w:space="0" w:color="auto"/>
              <w:bottom w:val="nil"/>
              <w:right w:val="nil"/>
            </w:tcBorders>
            <w:shd w:val="clear" w:color="000000" w:fill="FFFFFF"/>
            <w:noWrap/>
            <w:vAlign w:val="bottom"/>
            <w:hideMark/>
          </w:tcPr>
          <w:p w14:paraId="474D0256" w14:textId="77777777" w:rsidR="00432C73" w:rsidRPr="00432C73" w:rsidRDefault="00432C73" w:rsidP="00432C73">
            <w:pPr>
              <w:spacing w:after="0" w:line="240" w:lineRule="auto"/>
              <w:rPr>
                <w:b/>
                <w:bCs/>
                <w:color w:val="000000"/>
                <w:sz w:val="16"/>
                <w:szCs w:val="16"/>
                <w:lang w:eastAsia="en-GB"/>
              </w:rPr>
            </w:pPr>
            <w:r w:rsidRPr="00432C73">
              <w:rPr>
                <w:b/>
                <w:bCs/>
                <w:color w:val="000000"/>
                <w:sz w:val="16"/>
                <w:szCs w:val="16"/>
                <w:lang w:eastAsia="en-GB"/>
              </w:rPr>
              <w:t> </w:t>
            </w:r>
          </w:p>
        </w:tc>
        <w:tc>
          <w:tcPr>
            <w:tcW w:w="1380" w:type="dxa"/>
            <w:tcBorders>
              <w:top w:val="single" w:sz="4" w:space="0" w:color="auto"/>
              <w:left w:val="nil"/>
              <w:bottom w:val="nil"/>
              <w:right w:val="nil"/>
            </w:tcBorders>
            <w:shd w:val="clear" w:color="000000" w:fill="FFFFFF"/>
            <w:noWrap/>
            <w:vAlign w:val="bottom"/>
            <w:hideMark/>
          </w:tcPr>
          <w:p w14:paraId="705F6B04" w14:textId="77777777" w:rsidR="00432C73" w:rsidRPr="00432C73" w:rsidRDefault="00432C73" w:rsidP="00432C73">
            <w:pPr>
              <w:spacing w:after="0" w:line="240" w:lineRule="auto"/>
              <w:rPr>
                <w:b/>
                <w:bCs/>
                <w:color w:val="000000"/>
                <w:sz w:val="16"/>
                <w:szCs w:val="16"/>
                <w:lang w:eastAsia="en-GB"/>
              </w:rPr>
            </w:pPr>
            <w:r w:rsidRPr="00432C73">
              <w:rPr>
                <w:b/>
                <w:bCs/>
                <w:color w:val="000000"/>
                <w:sz w:val="16"/>
                <w:szCs w:val="16"/>
                <w:lang w:eastAsia="en-GB"/>
              </w:rPr>
              <w:t> </w:t>
            </w:r>
          </w:p>
        </w:tc>
        <w:tc>
          <w:tcPr>
            <w:tcW w:w="960" w:type="dxa"/>
            <w:tcBorders>
              <w:top w:val="single" w:sz="4" w:space="0" w:color="auto"/>
              <w:left w:val="nil"/>
              <w:bottom w:val="nil"/>
              <w:right w:val="nil"/>
            </w:tcBorders>
            <w:shd w:val="clear" w:color="000000" w:fill="FFFFFF"/>
            <w:noWrap/>
            <w:vAlign w:val="bottom"/>
            <w:hideMark/>
          </w:tcPr>
          <w:p w14:paraId="17996720" w14:textId="77777777" w:rsidR="00432C73" w:rsidRPr="00432C73" w:rsidRDefault="00432C73" w:rsidP="00432C73">
            <w:pPr>
              <w:spacing w:after="0" w:line="240" w:lineRule="auto"/>
              <w:jc w:val="center"/>
              <w:rPr>
                <w:b/>
                <w:bCs/>
                <w:color w:val="000000"/>
                <w:sz w:val="16"/>
                <w:szCs w:val="16"/>
                <w:lang w:eastAsia="en-GB"/>
              </w:rPr>
            </w:pPr>
            <w:r w:rsidRPr="00432C73">
              <w:rPr>
                <w:b/>
                <w:bCs/>
                <w:color w:val="000000"/>
                <w:sz w:val="16"/>
                <w:szCs w:val="16"/>
                <w:lang w:eastAsia="en-GB"/>
              </w:rPr>
              <w:t>Nov-18</w:t>
            </w:r>
          </w:p>
        </w:tc>
        <w:tc>
          <w:tcPr>
            <w:tcW w:w="920" w:type="dxa"/>
            <w:tcBorders>
              <w:top w:val="single" w:sz="4" w:space="0" w:color="auto"/>
              <w:left w:val="nil"/>
              <w:bottom w:val="nil"/>
              <w:right w:val="nil"/>
            </w:tcBorders>
            <w:shd w:val="clear" w:color="000000" w:fill="FFFFFF"/>
            <w:noWrap/>
            <w:vAlign w:val="bottom"/>
            <w:hideMark/>
          </w:tcPr>
          <w:p w14:paraId="7315F50A" w14:textId="77777777" w:rsidR="00432C73" w:rsidRPr="00432C73" w:rsidRDefault="00432C73" w:rsidP="00432C73">
            <w:pPr>
              <w:spacing w:after="0" w:line="240" w:lineRule="auto"/>
              <w:jc w:val="center"/>
              <w:rPr>
                <w:b/>
                <w:bCs/>
                <w:color w:val="000000"/>
                <w:sz w:val="16"/>
                <w:szCs w:val="16"/>
                <w:lang w:eastAsia="en-GB"/>
              </w:rPr>
            </w:pPr>
            <w:r w:rsidRPr="00432C73">
              <w:rPr>
                <w:b/>
                <w:bCs/>
                <w:color w:val="000000"/>
                <w:sz w:val="16"/>
                <w:szCs w:val="16"/>
                <w:lang w:eastAsia="en-GB"/>
              </w:rPr>
              <w:t>Dec-18</w:t>
            </w:r>
          </w:p>
        </w:tc>
        <w:tc>
          <w:tcPr>
            <w:tcW w:w="900" w:type="dxa"/>
            <w:tcBorders>
              <w:top w:val="single" w:sz="4" w:space="0" w:color="auto"/>
              <w:left w:val="nil"/>
              <w:bottom w:val="nil"/>
              <w:right w:val="nil"/>
            </w:tcBorders>
            <w:shd w:val="clear" w:color="000000" w:fill="FFFFFF"/>
            <w:noWrap/>
            <w:vAlign w:val="bottom"/>
            <w:hideMark/>
          </w:tcPr>
          <w:p w14:paraId="2C66663D" w14:textId="77777777" w:rsidR="00432C73" w:rsidRPr="00432C73" w:rsidRDefault="00432C73" w:rsidP="00432C73">
            <w:pPr>
              <w:spacing w:after="0" w:line="240" w:lineRule="auto"/>
              <w:jc w:val="center"/>
              <w:rPr>
                <w:b/>
                <w:bCs/>
                <w:color w:val="000000"/>
                <w:sz w:val="16"/>
                <w:szCs w:val="16"/>
                <w:lang w:eastAsia="en-GB"/>
              </w:rPr>
            </w:pPr>
            <w:r w:rsidRPr="00432C73">
              <w:rPr>
                <w:b/>
                <w:bCs/>
                <w:color w:val="000000"/>
                <w:sz w:val="16"/>
                <w:szCs w:val="16"/>
                <w:lang w:eastAsia="en-GB"/>
              </w:rPr>
              <w:t>Jan-19</w:t>
            </w:r>
          </w:p>
        </w:tc>
        <w:tc>
          <w:tcPr>
            <w:tcW w:w="920" w:type="dxa"/>
            <w:tcBorders>
              <w:top w:val="single" w:sz="4" w:space="0" w:color="auto"/>
              <w:left w:val="nil"/>
              <w:bottom w:val="nil"/>
              <w:right w:val="nil"/>
            </w:tcBorders>
            <w:shd w:val="clear" w:color="000000" w:fill="FFFFFF"/>
            <w:noWrap/>
            <w:vAlign w:val="bottom"/>
            <w:hideMark/>
          </w:tcPr>
          <w:p w14:paraId="6F6CF152" w14:textId="77777777" w:rsidR="00432C73" w:rsidRPr="00432C73" w:rsidRDefault="00432C73" w:rsidP="00432C73">
            <w:pPr>
              <w:spacing w:after="0" w:line="240" w:lineRule="auto"/>
              <w:jc w:val="center"/>
              <w:rPr>
                <w:b/>
                <w:bCs/>
                <w:color w:val="000000"/>
                <w:sz w:val="16"/>
                <w:szCs w:val="16"/>
                <w:lang w:eastAsia="en-GB"/>
              </w:rPr>
            </w:pPr>
            <w:r w:rsidRPr="00432C73">
              <w:rPr>
                <w:b/>
                <w:bCs/>
                <w:color w:val="000000"/>
                <w:sz w:val="16"/>
                <w:szCs w:val="16"/>
                <w:lang w:eastAsia="en-GB"/>
              </w:rPr>
              <w:t>Feb-19</w:t>
            </w:r>
          </w:p>
        </w:tc>
        <w:tc>
          <w:tcPr>
            <w:tcW w:w="880" w:type="dxa"/>
            <w:tcBorders>
              <w:top w:val="single" w:sz="4" w:space="0" w:color="auto"/>
              <w:left w:val="nil"/>
              <w:bottom w:val="nil"/>
              <w:right w:val="nil"/>
            </w:tcBorders>
            <w:shd w:val="clear" w:color="000000" w:fill="FFFFFF"/>
            <w:noWrap/>
            <w:vAlign w:val="bottom"/>
            <w:hideMark/>
          </w:tcPr>
          <w:p w14:paraId="4172DBB6" w14:textId="77777777" w:rsidR="00432C73" w:rsidRPr="00432C73" w:rsidRDefault="00432C73" w:rsidP="00432C73">
            <w:pPr>
              <w:spacing w:after="0" w:line="240" w:lineRule="auto"/>
              <w:jc w:val="center"/>
              <w:rPr>
                <w:b/>
                <w:bCs/>
                <w:color w:val="000000"/>
                <w:sz w:val="16"/>
                <w:szCs w:val="16"/>
                <w:lang w:eastAsia="en-GB"/>
              </w:rPr>
            </w:pPr>
            <w:r w:rsidRPr="00432C73">
              <w:rPr>
                <w:b/>
                <w:bCs/>
                <w:color w:val="000000"/>
                <w:sz w:val="16"/>
                <w:szCs w:val="16"/>
                <w:lang w:eastAsia="en-GB"/>
              </w:rPr>
              <w:t>Mar-19</w:t>
            </w:r>
          </w:p>
        </w:tc>
        <w:tc>
          <w:tcPr>
            <w:tcW w:w="900" w:type="dxa"/>
            <w:tcBorders>
              <w:top w:val="single" w:sz="4" w:space="0" w:color="auto"/>
              <w:left w:val="nil"/>
              <w:bottom w:val="nil"/>
              <w:right w:val="nil"/>
            </w:tcBorders>
            <w:shd w:val="clear" w:color="000000" w:fill="FFFFFF"/>
            <w:noWrap/>
            <w:vAlign w:val="bottom"/>
            <w:hideMark/>
          </w:tcPr>
          <w:p w14:paraId="6E63B7F2" w14:textId="77777777" w:rsidR="00432C73" w:rsidRPr="00432C73" w:rsidRDefault="00432C73" w:rsidP="00432C73">
            <w:pPr>
              <w:spacing w:after="0" w:line="240" w:lineRule="auto"/>
              <w:jc w:val="center"/>
              <w:rPr>
                <w:b/>
                <w:bCs/>
                <w:color w:val="000000"/>
                <w:sz w:val="16"/>
                <w:szCs w:val="16"/>
                <w:lang w:eastAsia="en-GB"/>
              </w:rPr>
            </w:pPr>
            <w:r w:rsidRPr="00432C73">
              <w:rPr>
                <w:b/>
                <w:bCs/>
                <w:color w:val="000000"/>
                <w:sz w:val="16"/>
                <w:szCs w:val="16"/>
                <w:lang w:eastAsia="en-GB"/>
              </w:rPr>
              <w:t>Apr-19</w:t>
            </w:r>
          </w:p>
        </w:tc>
        <w:tc>
          <w:tcPr>
            <w:tcW w:w="880" w:type="dxa"/>
            <w:tcBorders>
              <w:top w:val="single" w:sz="4" w:space="0" w:color="auto"/>
              <w:left w:val="nil"/>
              <w:bottom w:val="nil"/>
              <w:right w:val="nil"/>
            </w:tcBorders>
            <w:shd w:val="clear" w:color="000000" w:fill="FFFFFF"/>
            <w:noWrap/>
            <w:vAlign w:val="bottom"/>
            <w:hideMark/>
          </w:tcPr>
          <w:p w14:paraId="0294AF29" w14:textId="77777777" w:rsidR="00432C73" w:rsidRPr="00432C73" w:rsidRDefault="00432C73" w:rsidP="00432C73">
            <w:pPr>
              <w:spacing w:after="0" w:line="240" w:lineRule="auto"/>
              <w:jc w:val="center"/>
              <w:rPr>
                <w:b/>
                <w:bCs/>
                <w:color w:val="000000"/>
                <w:sz w:val="16"/>
                <w:szCs w:val="16"/>
                <w:lang w:eastAsia="en-GB"/>
              </w:rPr>
            </w:pPr>
            <w:r w:rsidRPr="00432C73">
              <w:rPr>
                <w:b/>
                <w:bCs/>
                <w:color w:val="000000"/>
                <w:sz w:val="16"/>
                <w:szCs w:val="16"/>
                <w:lang w:eastAsia="en-GB"/>
              </w:rPr>
              <w:t>May-19</w:t>
            </w:r>
          </w:p>
        </w:tc>
        <w:tc>
          <w:tcPr>
            <w:tcW w:w="920" w:type="dxa"/>
            <w:tcBorders>
              <w:top w:val="single" w:sz="4" w:space="0" w:color="auto"/>
              <w:left w:val="nil"/>
              <w:bottom w:val="nil"/>
              <w:right w:val="nil"/>
            </w:tcBorders>
            <w:shd w:val="clear" w:color="000000" w:fill="FFFFFF"/>
            <w:noWrap/>
            <w:vAlign w:val="bottom"/>
            <w:hideMark/>
          </w:tcPr>
          <w:p w14:paraId="1D106F45" w14:textId="77777777" w:rsidR="00432C73" w:rsidRPr="00432C73" w:rsidRDefault="00432C73" w:rsidP="00432C73">
            <w:pPr>
              <w:spacing w:after="0" w:line="240" w:lineRule="auto"/>
              <w:jc w:val="center"/>
              <w:rPr>
                <w:b/>
                <w:bCs/>
                <w:color w:val="000000"/>
                <w:sz w:val="16"/>
                <w:szCs w:val="16"/>
                <w:lang w:eastAsia="en-GB"/>
              </w:rPr>
            </w:pPr>
            <w:r w:rsidRPr="00432C73">
              <w:rPr>
                <w:b/>
                <w:bCs/>
                <w:color w:val="000000"/>
                <w:sz w:val="16"/>
                <w:szCs w:val="16"/>
                <w:lang w:eastAsia="en-GB"/>
              </w:rPr>
              <w:t>Jun-19</w:t>
            </w:r>
          </w:p>
        </w:tc>
        <w:tc>
          <w:tcPr>
            <w:tcW w:w="880" w:type="dxa"/>
            <w:tcBorders>
              <w:top w:val="single" w:sz="4" w:space="0" w:color="auto"/>
              <w:left w:val="nil"/>
              <w:bottom w:val="nil"/>
              <w:right w:val="nil"/>
            </w:tcBorders>
            <w:shd w:val="clear" w:color="000000" w:fill="FFFFFF"/>
            <w:noWrap/>
            <w:vAlign w:val="bottom"/>
            <w:hideMark/>
          </w:tcPr>
          <w:p w14:paraId="1A896677" w14:textId="77777777" w:rsidR="00432C73" w:rsidRPr="00432C73" w:rsidRDefault="00432C73" w:rsidP="00432C73">
            <w:pPr>
              <w:spacing w:after="0" w:line="240" w:lineRule="auto"/>
              <w:jc w:val="center"/>
              <w:rPr>
                <w:b/>
                <w:bCs/>
                <w:color w:val="000000"/>
                <w:sz w:val="16"/>
                <w:szCs w:val="16"/>
                <w:lang w:eastAsia="en-GB"/>
              </w:rPr>
            </w:pPr>
            <w:r w:rsidRPr="00432C73">
              <w:rPr>
                <w:b/>
                <w:bCs/>
                <w:color w:val="000000"/>
                <w:sz w:val="16"/>
                <w:szCs w:val="16"/>
                <w:lang w:eastAsia="en-GB"/>
              </w:rPr>
              <w:t>Jul-19</w:t>
            </w:r>
          </w:p>
        </w:tc>
        <w:tc>
          <w:tcPr>
            <w:tcW w:w="880" w:type="dxa"/>
            <w:tcBorders>
              <w:top w:val="single" w:sz="4" w:space="0" w:color="auto"/>
              <w:left w:val="nil"/>
              <w:bottom w:val="nil"/>
              <w:right w:val="nil"/>
            </w:tcBorders>
            <w:shd w:val="clear" w:color="000000" w:fill="FFFFFF"/>
            <w:noWrap/>
            <w:vAlign w:val="bottom"/>
            <w:hideMark/>
          </w:tcPr>
          <w:p w14:paraId="242C96C8" w14:textId="77777777" w:rsidR="00432C73" w:rsidRPr="00432C73" w:rsidRDefault="00432C73" w:rsidP="00432C73">
            <w:pPr>
              <w:spacing w:after="0" w:line="240" w:lineRule="auto"/>
              <w:jc w:val="center"/>
              <w:rPr>
                <w:b/>
                <w:bCs/>
                <w:color w:val="000000"/>
                <w:sz w:val="16"/>
                <w:szCs w:val="16"/>
                <w:lang w:eastAsia="en-GB"/>
              </w:rPr>
            </w:pPr>
            <w:r w:rsidRPr="00432C73">
              <w:rPr>
                <w:b/>
                <w:bCs/>
                <w:color w:val="000000"/>
                <w:sz w:val="16"/>
                <w:szCs w:val="16"/>
                <w:lang w:eastAsia="en-GB"/>
              </w:rPr>
              <w:t>Aug-19</w:t>
            </w:r>
          </w:p>
        </w:tc>
        <w:tc>
          <w:tcPr>
            <w:tcW w:w="920" w:type="dxa"/>
            <w:tcBorders>
              <w:top w:val="single" w:sz="4" w:space="0" w:color="auto"/>
              <w:left w:val="nil"/>
              <w:bottom w:val="nil"/>
              <w:right w:val="nil"/>
            </w:tcBorders>
            <w:shd w:val="clear" w:color="000000" w:fill="FFFFFF"/>
            <w:noWrap/>
            <w:vAlign w:val="bottom"/>
            <w:hideMark/>
          </w:tcPr>
          <w:p w14:paraId="5DA14F4C" w14:textId="77777777" w:rsidR="00432C73" w:rsidRPr="00432C73" w:rsidRDefault="00432C73" w:rsidP="00432C73">
            <w:pPr>
              <w:spacing w:after="0" w:line="240" w:lineRule="auto"/>
              <w:jc w:val="center"/>
              <w:rPr>
                <w:b/>
                <w:bCs/>
                <w:color w:val="000000"/>
                <w:sz w:val="16"/>
                <w:szCs w:val="16"/>
                <w:lang w:eastAsia="en-GB"/>
              </w:rPr>
            </w:pPr>
            <w:r w:rsidRPr="00432C73">
              <w:rPr>
                <w:b/>
                <w:bCs/>
                <w:color w:val="000000"/>
                <w:sz w:val="16"/>
                <w:szCs w:val="16"/>
                <w:lang w:eastAsia="en-GB"/>
              </w:rPr>
              <w:t>Sep-19</w:t>
            </w:r>
          </w:p>
        </w:tc>
        <w:tc>
          <w:tcPr>
            <w:tcW w:w="880" w:type="dxa"/>
            <w:tcBorders>
              <w:top w:val="single" w:sz="4" w:space="0" w:color="auto"/>
              <w:left w:val="nil"/>
              <w:bottom w:val="nil"/>
              <w:right w:val="nil"/>
            </w:tcBorders>
            <w:shd w:val="clear" w:color="000000" w:fill="FFFFFF"/>
            <w:noWrap/>
            <w:vAlign w:val="bottom"/>
            <w:hideMark/>
          </w:tcPr>
          <w:p w14:paraId="106BEBE2" w14:textId="77777777" w:rsidR="00432C73" w:rsidRPr="00432C73" w:rsidRDefault="00432C73" w:rsidP="00432C73">
            <w:pPr>
              <w:spacing w:after="0" w:line="240" w:lineRule="auto"/>
              <w:jc w:val="center"/>
              <w:rPr>
                <w:b/>
                <w:bCs/>
                <w:color w:val="000000"/>
                <w:sz w:val="16"/>
                <w:szCs w:val="16"/>
                <w:lang w:eastAsia="en-GB"/>
              </w:rPr>
            </w:pPr>
            <w:r w:rsidRPr="00432C73">
              <w:rPr>
                <w:b/>
                <w:bCs/>
                <w:color w:val="000000"/>
                <w:sz w:val="16"/>
                <w:szCs w:val="16"/>
                <w:lang w:eastAsia="en-GB"/>
              </w:rPr>
              <w:t>Oct-19</w:t>
            </w:r>
          </w:p>
        </w:tc>
        <w:tc>
          <w:tcPr>
            <w:tcW w:w="1257" w:type="dxa"/>
            <w:tcBorders>
              <w:top w:val="single" w:sz="4" w:space="0" w:color="auto"/>
              <w:left w:val="nil"/>
              <w:bottom w:val="nil"/>
              <w:right w:val="single" w:sz="4" w:space="0" w:color="auto"/>
            </w:tcBorders>
            <w:shd w:val="clear" w:color="000000" w:fill="FFFFFF"/>
            <w:noWrap/>
            <w:vAlign w:val="bottom"/>
            <w:hideMark/>
          </w:tcPr>
          <w:p w14:paraId="1744E557" w14:textId="77777777" w:rsidR="00432C73" w:rsidRPr="00432C73" w:rsidRDefault="00432C73" w:rsidP="00432C73">
            <w:pPr>
              <w:spacing w:after="0" w:line="240" w:lineRule="auto"/>
              <w:jc w:val="center"/>
              <w:rPr>
                <w:b/>
                <w:bCs/>
                <w:color w:val="000000"/>
                <w:sz w:val="16"/>
                <w:szCs w:val="16"/>
                <w:lang w:eastAsia="en-GB"/>
              </w:rPr>
            </w:pPr>
            <w:r w:rsidRPr="00432C73">
              <w:rPr>
                <w:b/>
                <w:bCs/>
                <w:color w:val="000000"/>
                <w:sz w:val="16"/>
                <w:szCs w:val="16"/>
                <w:lang w:eastAsia="en-GB"/>
              </w:rPr>
              <w:t> </w:t>
            </w:r>
          </w:p>
        </w:tc>
      </w:tr>
      <w:tr w:rsidR="00432C73" w:rsidRPr="00432C73" w14:paraId="7E6E063F" w14:textId="77777777" w:rsidTr="005206E0">
        <w:trPr>
          <w:trHeight w:val="225"/>
        </w:trPr>
        <w:tc>
          <w:tcPr>
            <w:tcW w:w="1260" w:type="dxa"/>
            <w:tcBorders>
              <w:top w:val="nil"/>
              <w:left w:val="single" w:sz="4" w:space="0" w:color="auto"/>
              <w:bottom w:val="nil"/>
              <w:right w:val="nil"/>
            </w:tcBorders>
            <w:shd w:val="clear" w:color="000000" w:fill="FFFFFF"/>
            <w:noWrap/>
            <w:vAlign w:val="bottom"/>
            <w:hideMark/>
          </w:tcPr>
          <w:p w14:paraId="45BCA97A" w14:textId="77777777" w:rsidR="00432C73" w:rsidRPr="00432C73" w:rsidRDefault="00432C73" w:rsidP="00432C73">
            <w:pPr>
              <w:spacing w:after="0" w:line="240" w:lineRule="auto"/>
              <w:rPr>
                <w:b/>
                <w:bCs/>
                <w:color w:val="000000"/>
                <w:sz w:val="16"/>
                <w:szCs w:val="16"/>
                <w:lang w:eastAsia="en-GB"/>
              </w:rPr>
            </w:pPr>
            <w:r w:rsidRPr="00432C73">
              <w:rPr>
                <w:b/>
                <w:bCs/>
                <w:color w:val="000000"/>
                <w:sz w:val="16"/>
                <w:szCs w:val="16"/>
                <w:lang w:eastAsia="en-GB"/>
              </w:rPr>
              <w:t>Total Embassies</w:t>
            </w:r>
          </w:p>
        </w:tc>
        <w:tc>
          <w:tcPr>
            <w:tcW w:w="1380" w:type="dxa"/>
            <w:tcBorders>
              <w:top w:val="nil"/>
              <w:left w:val="nil"/>
              <w:bottom w:val="nil"/>
              <w:right w:val="nil"/>
            </w:tcBorders>
            <w:shd w:val="clear" w:color="000000" w:fill="FFFFFF"/>
            <w:noWrap/>
            <w:vAlign w:val="bottom"/>
            <w:hideMark/>
          </w:tcPr>
          <w:p w14:paraId="71BE9013" w14:textId="77777777" w:rsidR="00432C73" w:rsidRPr="00432C73" w:rsidRDefault="00432C73" w:rsidP="00432C73">
            <w:pPr>
              <w:spacing w:after="0" w:line="240" w:lineRule="auto"/>
              <w:rPr>
                <w:b/>
                <w:bCs/>
                <w:color w:val="000000"/>
                <w:sz w:val="16"/>
                <w:szCs w:val="16"/>
                <w:lang w:eastAsia="en-GB"/>
              </w:rPr>
            </w:pPr>
            <w:r w:rsidRPr="00432C73">
              <w:rPr>
                <w:b/>
                <w:bCs/>
                <w:color w:val="000000"/>
                <w:sz w:val="16"/>
                <w:szCs w:val="16"/>
                <w:lang w:eastAsia="en-GB"/>
              </w:rPr>
              <w:t> </w:t>
            </w:r>
          </w:p>
        </w:tc>
        <w:tc>
          <w:tcPr>
            <w:tcW w:w="960" w:type="dxa"/>
            <w:tcBorders>
              <w:top w:val="nil"/>
              <w:left w:val="nil"/>
              <w:bottom w:val="nil"/>
              <w:right w:val="nil"/>
            </w:tcBorders>
            <w:shd w:val="clear" w:color="000000" w:fill="FFFFFF"/>
            <w:noWrap/>
            <w:vAlign w:val="bottom"/>
            <w:hideMark/>
          </w:tcPr>
          <w:p w14:paraId="36AA122D" w14:textId="77777777" w:rsidR="00432C73" w:rsidRPr="00432C73" w:rsidRDefault="00432C73" w:rsidP="00432C73">
            <w:pPr>
              <w:spacing w:after="0" w:line="240" w:lineRule="auto"/>
              <w:jc w:val="center"/>
              <w:rPr>
                <w:b/>
                <w:bCs/>
                <w:color w:val="000000"/>
                <w:sz w:val="16"/>
                <w:szCs w:val="16"/>
                <w:lang w:eastAsia="en-GB"/>
              </w:rPr>
            </w:pPr>
            <w:r w:rsidRPr="00432C73">
              <w:rPr>
                <w:b/>
                <w:bCs/>
                <w:color w:val="000000"/>
                <w:sz w:val="16"/>
                <w:szCs w:val="16"/>
                <w:lang w:eastAsia="en-GB"/>
              </w:rPr>
              <w:t>£'000</w:t>
            </w:r>
          </w:p>
        </w:tc>
        <w:tc>
          <w:tcPr>
            <w:tcW w:w="920" w:type="dxa"/>
            <w:tcBorders>
              <w:top w:val="nil"/>
              <w:left w:val="nil"/>
              <w:bottom w:val="nil"/>
              <w:right w:val="nil"/>
            </w:tcBorders>
            <w:shd w:val="clear" w:color="000000" w:fill="FFFFFF"/>
            <w:noWrap/>
            <w:vAlign w:val="bottom"/>
            <w:hideMark/>
          </w:tcPr>
          <w:p w14:paraId="35882A21" w14:textId="77777777" w:rsidR="00432C73" w:rsidRPr="00432C73" w:rsidRDefault="00432C73" w:rsidP="00432C73">
            <w:pPr>
              <w:spacing w:after="0" w:line="240" w:lineRule="auto"/>
              <w:jc w:val="center"/>
              <w:rPr>
                <w:b/>
                <w:bCs/>
                <w:color w:val="000000"/>
                <w:sz w:val="16"/>
                <w:szCs w:val="16"/>
                <w:lang w:eastAsia="en-GB"/>
              </w:rPr>
            </w:pPr>
            <w:r w:rsidRPr="00432C73">
              <w:rPr>
                <w:b/>
                <w:bCs/>
                <w:color w:val="000000"/>
                <w:sz w:val="16"/>
                <w:szCs w:val="16"/>
                <w:lang w:eastAsia="en-GB"/>
              </w:rPr>
              <w:t>£'000</w:t>
            </w:r>
          </w:p>
        </w:tc>
        <w:tc>
          <w:tcPr>
            <w:tcW w:w="900" w:type="dxa"/>
            <w:tcBorders>
              <w:top w:val="nil"/>
              <w:left w:val="nil"/>
              <w:bottom w:val="nil"/>
              <w:right w:val="nil"/>
            </w:tcBorders>
            <w:shd w:val="clear" w:color="000000" w:fill="FFFFFF"/>
            <w:noWrap/>
            <w:vAlign w:val="bottom"/>
            <w:hideMark/>
          </w:tcPr>
          <w:p w14:paraId="43C50F67" w14:textId="77777777" w:rsidR="00432C73" w:rsidRPr="00432C73" w:rsidRDefault="00432C73" w:rsidP="00432C73">
            <w:pPr>
              <w:spacing w:after="0" w:line="240" w:lineRule="auto"/>
              <w:jc w:val="center"/>
              <w:rPr>
                <w:b/>
                <w:bCs/>
                <w:color w:val="000000"/>
                <w:sz w:val="16"/>
                <w:szCs w:val="16"/>
                <w:lang w:eastAsia="en-GB"/>
              </w:rPr>
            </w:pPr>
            <w:r w:rsidRPr="00432C73">
              <w:rPr>
                <w:b/>
                <w:bCs/>
                <w:color w:val="000000"/>
                <w:sz w:val="16"/>
                <w:szCs w:val="16"/>
                <w:lang w:eastAsia="en-GB"/>
              </w:rPr>
              <w:t>£'000</w:t>
            </w:r>
          </w:p>
        </w:tc>
        <w:tc>
          <w:tcPr>
            <w:tcW w:w="920" w:type="dxa"/>
            <w:tcBorders>
              <w:top w:val="nil"/>
              <w:left w:val="nil"/>
              <w:bottom w:val="nil"/>
              <w:right w:val="nil"/>
            </w:tcBorders>
            <w:shd w:val="clear" w:color="000000" w:fill="FFFFFF"/>
            <w:noWrap/>
            <w:vAlign w:val="bottom"/>
            <w:hideMark/>
          </w:tcPr>
          <w:p w14:paraId="79ECACF8" w14:textId="77777777" w:rsidR="00432C73" w:rsidRPr="00432C73" w:rsidRDefault="00432C73" w:rsidP="00432C73">
            <w:pPr>
              <w:spacing w:after="0" w:line="240" w:lineRule="auto"/>
              <w:jc w:val="center"/>
              <w:rPr>
                <w:b/>
                <w:bCs/>
                <w:color w:val="000000"/>
                <w:sz w:val="16"/>
                <w:szCs w:val="16"/>
                <w:lang w:eastAsia="en-GB"/>
              </w:rPr>
            </w:pPr>
            <w:r w:rsidRPr="00432C73">
              <w:rPr>
                <w:b/>
                <w:bCs/>
                <w:color w:val="000000"/>
                <w:sz w:val="16"/>
                <w:szCs w:val="16"/>
                <w:lang w:eastAsia="en-GB"/>
              </w:rPr>
              <w:t>£'000</w:t>
            </w:r>
          </w:p>
        </w:tc>
        <w:tc>
          <w:tcPr>
            <w:tcW w:w="880" w:type="dxa"/>
            <w:tcBorders>
              <w:top w:val="nil"/>
              <w:left w:val="nil"/>
              <w:bottom w:val="nil"/>
              <w:right w:val="nil"/>
            </w:tcBorders>
            <w:shd w:val="clear" w:color="000000" w:fill="FFFFFF"/>
            <w:noWrap/>
            <w:vAlign w:val="bottom"/>
            <w:hideMark/>
          </w:tcPr>
          <w:p w14:paraId="07B49C09" w14:textId="77777777" w:rsidR="00432C73" w:rsidRPr="00432C73" w:rsidRDefault="00432C73" w:rsidP="00432C73">
            <w:pPr>
              <w:spacing w:after="0" w:line="240" w:lineRule="auto"/>
              <w:jc w:val="center"/>
              <w:rPr>
                <w:b/>
                <w:bCs/>
                <w:color w:val="000000"/>
                <w:sz w:val="16"/>
                <w:szCs w:val="16"/>
                <w:lang w:eastAsia="en-GB"/>
              </w:rPr>
            </w:pPr>
            <w:r w:rsidRPr="00432C73">
              <w:rPr>
                <w:b/>
                <w:bCs/>
                <w:color w:val="000000"/>
                <w:sz w:val="16"/>
                <w:szCs w:val="16"/>
                <w:lang w:eastAsia="en-GB"/>
              </w:rPr>
              <w:t>£'000</w:t>
            </w:r>
          </w:p>
        </w:tc>
        <w:tc>
          <w:tcPr>
            <w:tcW w:w="900" w:type="dxa"/>
            <w:tcBorders>
              <w:top w:val="nil"/>
              <w:left w:val="nil"/>
              <w:bottom w:val="nil"/>
              <w:right w:val="nil"/>
            </w:tcBorders>
            <w:shd w:val="clear" w:color="000000" w:fill="FFFFFF"/>
            <w:noWrap/>
            <w:vAlign w:val="bottom"/>
            <w:hideMark/>
          </w:tcPr>
          <w:p w14:paraId="36D2B526" w14:textId="77777777" w:rsidR="00432C73" w:rsidRPr="00432C73" w:rsidRDefault="00432C73" w:rsidP="00432C73">
            <w:pPr>
              <w:spacing w:after="0" w:line="240" w:lineRule="auto"/>
              <w:jc w:val="center"/>
              <w:rPr>
                <w:b/>
                <w:bCs/>
                <w:color w:val="000000"/>
                <w:sz w:val="16"/>
                <w:szCs w:val="16"/>
                <w:lang w:eastAsia="en-GB"/>
              </w:rPr>
            </w:pPr>
            <w:r w:rsidRPr="00432C73">
              <w:rPr>
                <w:b/>
                <w:bCs/>
                <w:color w:val="000000"/>
                <w:sz w:val="16"/>
                <w:szCs w:val="16"/>
                <w:lang w:eastAsia="en-GB"/>
              </w:rPr>
              <w:t>£'000</w:t>
            </w:r>
          </w:p>
        </w:tc>
        <w:tc>
          <w:tcPr>
            <w:tcW w:w="880" w:type="dxa"/>
            <w:tcBorders>
              <w:top w:val="nil"/>
              <w:left w:val="nil"/>
              <w:bottom w:val="nil"/>
              <w:right w:val="nil"/>
            </w:tcBorders>
            <w:shd w:val="clear" w:color="000000" w:fill="FFFFFF"/>
            <w:noWrap/>
            <w:vAlign w:val="bottom"/>
            <w:hideMark/>
          </w:tcPr>
          <w:p w14:paraId="4C7C4F44" w14:textId="77777777" w:rsidR="00432C73" w:rsidRPr="00432C73" w:rsidRDefault="00432C73" w:rsidP="00432C73">
            <w:pPr>
              <w:spacing w:after="0" w:line="240" w:lineRule="auto"/>
              <w:jc w:val="center"/>
              <w:rPr>
                <w:b/>
                <w:bCs/>
                <w:color w:val="000000"/>
                <w:sz w:val="16"/>
                <w:szCs w:val="16"/>
                <w:lang w:eastAsia="en-GB"/>
              </w:rPr>
            </w:pPr>
            <w:r w:rsidRPr="00432C73">
              <w:rPr>
                <w:b/>
                <w:bCs/>
                <w:color w:val="000000"/>
                <w:sz w:val="16"/>
                <w:szCs w:val="16"/>
                <w:lang w:eastAsia="en-GB"/>
              </w:rPr>
              <w:t>£'000</w:t>
            </w:r>
          </w:p>
        </w:tc>
        <w:tc>
          <w:tcPr>
            <w:tcW w:w="920" w:type="dxa"/>
            <w:tcBorders>
              <w:top w:val="nil"/>
              <w:left w:val="nil"/>
              <w:bottom w:val="nil"/>
              <w:right w:val="nil"/>
            </w:tcBorders>
            <w:shd w:val="clear" w:color="000000" w:fill="FFFFFF"/>
            <w:noWrap/>
            <w:vAlign w:val="bottom"/>
            <w:hideMark/>
          </w:tcPr>
          <w:p w14:paraId="57F9C316" w14:textId="77777777" w:rsidR="00432C73" w:rsidRPr="00432C73" w:rsidRDefault="00432C73" w:rsidP="00432C73">
            <w:pPr>
              <w:spacing w:after="0" w:line="240" w:lineRule="auto"/>
              <w:jc w:val="center"/>
              <w:rPr>
                <w:b/>
                <w:bCs/>
                <w:color w:val="000000"/>
                <w:sz w:val="16"/>
                <w:szCs w:val="16"/>
                <w:lang w:eastAsia="en-GB"/>
              </w:rPr>
            </w:pPr>
            <w:r w:rsidRPr="00432C73">
              <w:rPr>
                <w:b/>
                <w:bCs/>
                <w:color w:val="000000"/>
                <w:sz w:val="16"/>
                <w:szCs w:val="16"/>
                <w:lang w:eastAsia="en-GB"/>
              </w:rPr>
              <w:t>£'000</w:t>
            </w:r>
          </w:p>
        </w:tc>
        <w:tc>
          <w:tcPr>
            <w:tcW w:w="880" w:type="dxa"/>
            <w:tcBorders>
              <w:top w:val="nil"/>
              <w:left w:val="nil"/>
              <w:bottom w:val="nil"/>
              <w:right w:val="nil"/>
            </w:tcBorders>
            <w:shd w:val="clear" w:color="000000" w:fill="FFFFFF"/>
            <w:noWrap/>
            <w:vAlign w:val="bottom"/>
            <w:hideMark/>
          </w:tcPr>
          <w:p w14:paraId="23BE059A" w14:textId="77777777" w:rsidR="00432C73" w:rsidRPr="00432C73" w:rsidRDefault="00432C73" w:rsidP="00432C73">
            <w:pPr>
              <w:spacing w:after="0" w:line="240" w:lineRule="auto"/>
              <w:jc w:val="center"/>
              <w:rPr>
                <w:b/>
                <w:bCs/>
                <w:color w:val="000000"/>
                <w:sz w:val="16"/>
                <w:szCs w:val="16"/>
                <w:lang w:eastAsia="en-GB"/>
              </w:rPr>
            </w:pPr>
            <w:r w:rsidRPr="00432C73">
              <w:rPr>
                <w:b/>
                <w:bCs/>
                <w:color w:val="000000"/>
                <w:sz w:val="16"/>
                <w:szCs w:val="16"/>
                <w:lang w:eastAsia="en-GB"/>
              </w:rPr>
              <w:t>£'000</w:t>
            </w:r>
          </w:p>
        </w:tc>
        <w:tc>
          <w:tcPr>
            <w:tcW w:w="880" w:type="dxa"/>
            <w:tcBorders>
              <w:top w:val="nil"/>
              <w:left w:val="nil"/>
              <w:bottom w:val="nil"/>
              <w:right w:val="nil"/>
            </w:tcBorders>
            <w:shd w:val="clear" w:color="000000" w:fill="FFFFFF"/>
            <w:noWrap/>
            <w:vAlign w:val="bottom"/>
            <w:hideMark/>
          </w:tcPr>
          <w:p w14:paraId="4BE999EB" w14:textId="77777777" w:rsidR="00432C73" w:rsidRPr="00432C73" w:rsidRDefault="00432C73" w:rsidP="00432C73">
            <w:pPr>
              <w:spacing w:after="0" w:line="240" w:lineRule="auto"/>
              <w:jc w:val="center"/>
              <w:rPr>
                <w:b/>
                <w:bCs/>
                <w:color w:val="000000"/>
                <w:sz w:val="16"/>
                <w:szCs w:val="16"/>
                <w:lang w:eastAsia="en-GB"/>
              </w:rPr>
            </w:pPr>
            <w:r w:rsidRPr="00432C73">
              <w:rPr>
                <w:b/>
                <w:bCs/>
                <w:color w:val="000000"/>
                <w:sz w:val="16"/>
                <w:szCs w:val="16"/>
                <w:lang w:eastAsia="en-GB"/>
              </w:rPr>
              <w:t>£'000</w:t>
            </w:r>
          </w:p>
        </w:tc>
        <w:tc>
          <w:tcPr>
            <w:tcW w:w="920" w:type="dxa"/>
            <w:tcBorders>
              <w:top w:val="nil"/>
              <w:left w:val="nil"/>
              <w:bottom w:val="nil"/>
              <w:right w:val="nil"/>
            </w:tcBorders>
            <w:shd w:val="clear" w:color="000000" w:fill="FFFFFF"/>
            <w:noWrap/>
            <w:vAlign w:val="bottom"/>
            <w:hideMark/>
          </w:tcPr>
          <w:p w14:paraId="5BC2B651" w14:textId="77777777" w:rsidR="00432C73" w:rsidRPr="00432C73" w:rsidRDefault="00432C73" w:rsidP="00432C73">
            <w:pPr>
              <w:spacing w:after="0" w:line="240" w:lineRule="auto"/>
              <w:jc w:val="center"/>
              <w:rPr>
                <w:b/>
                <w:bCs/>
                <w:color w:val="000000"/>
                <w:sz w:val="16"/>
                <w:szCs w:val="16"/>
                <w:lang w:eastAsia="en-GB"/>
              </w:rPr>
            </w:pPr>
            <w:r w:rsidRPr="00432C73">
              <w:rPr>
                <w:b/>
                <w:bCs/>
                <w:color w:val="000000"/>
                <w:sz w:val="16"/>
                <w:szCs w:val="16"/>
                <w:lang w:eastAsia="en-GB"/>
              </w:rPr>
              <w:t>£'000</w:t>
            </w:r>
          </w:p>
        </w:tc>
        <w:tc>
          <w:tcPr>
            <w:tcW w:w="880" w:type="dxa"/>
            <w:tcBorders>
              <w:top w:val="nil"/>
              <w:left w:val="nil"/>
              <w:bottom w:val="nil"/>
              <w:right w:val="nil"/>
            </w:tcBorders>
            <w:shd w:val="clear" w:color="000000" w:fill="FFFFFF"/>
            <w:noWrap/>
            <w:vAlign w:val="bottom"/>
            <w:hideMark/>
          </w:tcPr>
          <w:p w14:paraId="57D93B7C" w14:textId="77777777" w:rsidR="00432C73" w:rsidRPr="00432C73" w:rsidRDefault="00432C73" w:rsidP="00432C73">
            <w:pPr>
              <w:spacing w:after="0" w:line="240" w:lineRule="auto"/>
              <w:jc w:val="center"/>
              <w:rPr>
                <w:b/>
                <w:bCs/>
                <w:color w:val="000000"/>
                <w:sz w:val="16"/>
                <w:szCs w:val="16"/>
                <w:lang w:eastAsia="en-GB"/>
              </w:rPr>
            </w:pPr>
            <w:r w:rsidRPr="00432C73">
              <w:rPr>
                <w:b/>
                <w:bCs/>
                <w:color w:val="000000"/>
                <w:sz w:val="16"/>
                <w:szCs w:val="16"/>
                <w:lang w:eastAsia="en-GB"/>
              </w:rPr>
              <w:t>£'000</w:t>
            </w:r>
          </w:p>
        </w:tc>
        <w:tc>
          <w:tcPr>
            <w:tcW w:w="1257" w:type="dxa"/>
            <w:tcBorders>
              <w:top w:val="nil"/>
              <w:left w:val="nil"/>
              <w:bottom w:val="nil"/>
              <w:right w:val="single" w:sz="4" w:space="0" w:color="auto"/>
            </w:tcBorders>
            <w:shd w:val="clear" w:color="000000" w:fill="FFFFFF"/>
            <w:noWrap/>
            <w:vAlign w:val="bottom"/>
            <w:hideMark/>
          </w:tcPr>
          <w:p w14:paraId="43CBD9C4" w14:textId="77777777" w:rsidR="00432C73" w:rsidRPr="00432C73" w:rsidRDefault="00432C73" w:rsidP="00432C73">
            <w:pPr>
              <w:spacing w:after="0" w:line="240" w:lineRule="auto"/>
              <w:jc w:val="center"/>
              <w:rPr>
                <w:b/>
                <w:bCs/>
                <w:color w:val="000000"/>
                <w:sz w:val="16"/>
                <w:szCs w:val="16"/>
                <w:lang w:eastAsia="en-GB"/>
              </w:rPr>
            </w:pPr>
            <w:r w:rsidRPr="00432C73">
              <w:rPr>
                <w:b/>
                <w:bCs/>
                <w:color w:val="000000"/>
                <w:sz w:val="16"/>
                <w:szCs w:val="16"/>
                <w:lang w:eastAsia="en-GB"/>
              </w:rPr>
              <w:t>£'000</w:t>
            </w:r>
          </w:p>
        </w:tc>
      </w:tr>
      <w:tr w:rsidR="00432C73" w:rsidRPr="00432C73" w14:paraId="73B99CC5" w14:textId="77777777" w:rsidTr="005206E0">
        <w:trPr>
          <w:trHeight w:val="225"/>
        </w:trPr>
        <w:tc>
          <w:tcPr>
            <w:tcW w:w="1260" w:type="dxa"/>
            <w:tcBorders>
              <w:top w:val="nil"/>
              <w:left w:val="single" w:sz="4" w:space="0" w:color="auto"/>
              <w:bottom w:val="nil"/>
              <w:right w:val="nil"/>
            </w:tcBorders>
            <w:shd w:val="clear" w:color="000000" w:fill="FFFFFF"/>
            <w:noWrap/>
            <w:vAlign w:val="bottom"/>
            <w:hideMark/>
          </w:tcPr>
          <w:p w14:paraId="5DF29B1E" w14:textId="77777777" w:rsidR="00432C73" w:rsidRPr="00432C73" w:rsidRDefault="00432C73" w:rsidP="00432C73">
            <w:pPr>
              <w:spacing w:after="0" w:line="240" w:lineRule="auto"/>
              <w:rPr>
                <w:b/>
                <w:bCs/>
                <w:color w:val="000000"/>
                <w:sz w:val="16"/>
                <w:szCs w:val="16"/>
                <w:lang w:eastAsia="en-GB"/>
              </w:rPr>
            </w:pPr>
            <w:r w:rsidRPr="00432C73">
              <w:rPr>
                <w:b/>
                <w:bCs/>
                <w:color w:val="000000"/>
                <w:sz w:val="16"/>
                <w:szCs w:val="16"/>
                <w:lang w:eastAsia="en-GB"/>
              </w:rPr>
              <w:t> </w:t>
            </w:r>
          </w:p>
        </w:tc>
        <w:tc>
          <w:tcPr>
            <w:tcW w:w="1380" w:type="dxa"/>
            <w:tcBorders>
              <w:top w:val="nil"/>
              <w:left w:val="nil"/>
              <w:bottom w:val="nil"/>
              <w:right w:val="nil"/>
            </w:tcBorders>
            <w:shd w:val="clear" w:color="000000" w:fill="FFFFFF"/>
            <w:noWrap/>
            <w:vAlign w:val="bottom"/>
            <w:hideMark/>
          </w:tcPr>
          <w:p w14:paraId="3F35AE08" w14:textId="77777777" w:rsidR="00432C73" w:rsidRPr="00432C73" w:rsidRDefault="00432C73" w:rsidP="00432C73">
            <w:pPr>
              <w:spacing w:after="0" w:line="240" w:lineRule="auto"/>
              <w:rPr>
                <w:b/>
                <w:bCs/>
                <w:color w:val="000000"/>
                <w:sz w:val="16"/>
                <w:szCs w:val="16"/>
                <w:lang w:eastAsia="en-GB"/>
              </w:rPr>
            </w:pPr>
            <w:r w:rsidRPr="00432C73">
              <w:rPr>
                <w:b/>
                <w:bCs/>
                <w:color w:val="000000"/>
                <w:sz w:val="16"/>
                <w:szCs w:val="16"/>
                <w:lang w:eastAsia="en-GB"/>
              </w:rPr>
              <w:t>Opening Debtors</w:t>
            </w:r>
          </w:p>
        </w:tc>
        <w:tc>
          <w:tcPr>
            <w:tcW w:w="960" w:type="dxa"/>
            <w:tcBorders>
              <w:top w:val="nil"/>
              <w:left w:val="nil"/>
              <w:bottom w:val="nil"/>
              <w:right w:val="nil"/>
            </w:tcBorders>
            <w:shd w:val="clear" w:color="000000" w:fill="FFFFFF"/>
            <w:noWrap/>
            <w:vAlign w:val="bottom"/>
            <w:hideMark/>
          </w:tcPr>
          <w:p w14:paraId="09624479"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13,112</w:t>
            </w:r>
          </w:p>
        </w:tc>
        <w:tc>
          <w:tcPr>
            <w:tcW w:w="920" w:type="dxa"/>
            <w:tcBorders>
              <w:top w:val="nil"/>
              <w:left w:val="nil"/>
              <w:bottom w:val="nil"/>
              <w:right w:val="nil"/>
            </w:tcBorders>
            <w:shd w:val="clear" w:color="000000" w:fill="FFFFFF"/>
            <w:noWrap/>
            <w:vAlign w:val="bottom"/>
            <w:hideMark/>
          </w:tcPr>
          <w:p w14:paraId="19E98816"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12,757</w:t>
            </w:r>
          </w:p>
        </w:tc>
        <w:tc>
          <w:tcPr>
            <w:tcW w:w="900" w:type="dxa"/>
            <w:tcBorders>
              <w:top w:val="nil"/>
              <w:left w:val="nil"/>
              <w:bottom w:val="nil"/>
              <w:right w:val="nil"/>
            </w:tcBorders>
            <w:shd w:val="clear" w:color="000000" w:fill="FFFFFF"/>
            <w:noWrap/>
            <w:vAlign w:val="bottom"/>
            <w:hideMark/>
          </w:tcPr>
          <w:p w14:paraId="2F167B53"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14,230</w:t>
            </w:r>
          </w:p>
        </w:tc>
        <w:tc>
          <w:tcPr>
            <w:tcW w:w="920" w:type="dxa"/>
            <w:tcBorders>
              <w:top w:val="nil"/>
              <w:left w:val="nil"/>
              <w:bottom w:val="nil"/>
              <w:right w:val="nil"/>
            </w:tcBorders>
            <w:shd w:val="clear" w:color="000000" w:fill="FFFFFF"/>
            <w:noWrap/>
            <w:vAlign w:val="bottom"/>
            <w:hideMark/>
          </w:tcPr>
          <w:p w14:paraId="0C85F5FF"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15,587</w:t>
            </w:r>
          </w:p>
        </w:tc>
        <w:tc>
          <w:tcPr>
            <w:tcW w:w="880" w:type="dxa"/>
            <w:tcBorders>
              <w:top w:val="nil"/>
              <w:left w:val="nil"/>
              <w:bottom w:val="nil"/>
              <w:right w:val="nil"/>
            </w:tcBorders>
            <w:shd w:val="clear" w:color="000000" w:fill="FFFFFF"/>
            <w:noWrap/>
            <w:vAlign w:val="bottom"/>
            <w:hideMark/>
          </w:tcPr>
          <w:p w14:paraId="0A3AFF1F"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16,270</w:t>
            </w:r>
          </w:p>
        </w:tc>
        <w:tc>
          <w:tcPr>
            <w:tcW w:w="900" w:type="dxa"/>
            <w:tcBorders>
              <w:top w:val="nil"/>
              <w:left w:val="nil"/>
              <w:bottom w:val="nil"/>
              <w:right w:val="nil"/>
            </w:tcBorders>
            <w:shd w:val="clear" w:color="000000" w:fill="FFFFFF"/>
            <w:noWrap/>
            <w:vAlign w:val="bottom"/>
            <w:hideMark/>
          </w:tcPr>
          <w:p w14:paraId="145A06AE"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17,583</w:t>
            </w:r>
          </w:p>
        </w:tc>
        <w:tc>
          <w:tcPr>
            <w:tcW w:w="880" w:type="dxa"/>
            <w:tcBorders>
              <w:top w:val="nil"/>
              <w:left w:val="nil"/>
              <w:bottom w:val="nil"/>
              <w:right w:val="nil"/>
            </w:tcBorders>
            <w:shd w:val="clear" w:color="000000" w:fill="FFFFFF"/>
            <w:noWrap/>
            <w:vAlign w:val="bottom"/>
            <w:hideMark/>
          </w:tcPr>
          <w:p w14:paraId="5CBF0073"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17,112</w:t>
            </w:r>
          </w:p>
        </w:tc>
        <w:tc>
          <w:tcPr>
            <w:tcW w:w="920" w:type="dxa"/>
            <w:tcBorders>
              <w:top w:val="nil"/>
              <w:left w:val="nil"/>
              <w:bottom w:val="nil"/>
              <w:right w:val="nil"/>
            </w:tcBorders>
            <w:shd w:val="clear" w:color="000000" w:fill="FFFFFF"/>
            <w:noWrap/>
            <w:vAlign w:val="bottom"/>
            <w:hideMark/>
          </w:tcPr>
          <w:p w14:paraId="2681214F"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15,848</w:t>
            </w:r>
          </w:p>
        </w:tc>
        <w:tc>
          <w:tcPr>
            <w:tcW w:w="880" w:type="dxa"/>
            <w:tcBorders>
              <w:top w:val="nil"/>
              <w:left w:val="nil"/>
              <w:bottom w:val="nil"/>
              <w:right w:val="nil"/>
            </w:tcBorders>
            <w:shd w:val="clear" w:color="000000" w:fill="FFFFFF"/>
            <w:noWrap/>
            <w:vAlign w:val="bottom"/>
            <w:hideMark/>
          </w:tcPr>
          <w:p w14:paraId="42E78BE5"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14,618</w:t>
            </w:r>
          </w:p>
        </w:tc>
        <w:tc>
          <w:tcPr>
            <w:tcW w:w="880" w:type="dxa"/>
            <w:tcBorders>
              <w:top w:val="nil"/>
              <w:left w:val="nil"/>
              <w:bottom w:val="nil"/>
              <w:right w:val="nil"/>
            </w:tcBorders>
            <w:shd w:val="clear" w:color="000000" w:fill="FFFFFF"/>
            <w:noWrap/>
            <w:vAlign w:val="bottom"/>
            <w:hideMark/>
          </w:tcPr>
          <w:p w14:paraId="47EEB2DF"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15,488</w:t>
            </w:r>
          </w:p>
        </w:tc>
        <w:tc>
          <w:tcPr>
            <w:tcW w:w="920" w:type="dxa"/>
            <w:tcBorders>
              <w:top w:val="nil"/>
              <w:left w:val="nil"/>
              <w:bottom w:val="nil"/>
              <w:right w:val="nil"/>
            </w:tcBorders>
            <w:shd w:val="clear" w:color="000000" w:fill="FFFFFF"/>
            <w:noWrap/>
            <w:vAlign w:val="bottom"/>
            <w:hideMark/>
          </w:tcPr>
          <w:p w14:paraId="2B50F752"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14,172</w:t>
            </w:r>
          </w:p>
        </w:tc>
        <w:tc>
          <w:tcPr>
            <w:tcW w:w="880" w:type="dxa"/>
            <w:tcBorders>
              <w:top w:val="nil"/>
              <w:left w:val="nil"/>
              <w:bottom w:val="nil"/>
              <w:right w:val="nil"/>
            </w:tcBorders>
            <w:shd w:val="clear" w:color="000000" w:fill="FFFFFF"/>
            <w:noWrap/>
            <w:vAlign w:val="bottom"/>
            <w:hideMark/>
          </w:tcPr>
          <w:p w14:paraId="5C2CC440"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15,346</w:t>
            </w:r>
          </w:p>
        </w:tc>
        <w:tc>
          <w:tcPr>
            <w:tcW w:w="1257" w:type="dxa"/>
            <w:tcBorders>
              <w:top w:val="nil"/>
              <w:left w:val="nil"/>
              <w:bottom w:val="nil"/>
              <w:right w:val="single" w:sz="4" w:space="0" w:color="auto"/>
            </w:tcBorders>
            <w:shd w:val="clear" w:color="000000" w:fill="FFFFFF"/>
            <w:noWrap/>
            <w:vAlign w:val="bottom"/>
            <w:hideMark/>
          </w:tcPr>
          <w:p w14:paraId="3C71C5AF"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13,112</w:t>
            </w:r>
          </w:p>
        </w:tc>
      </w:tr>
      <w:tr w:rsidR="00432C73" w:rsidRPr="00432C73" w14:paraId="566D5702" w14:textId="77777777" w:rsidTr="005206E0">
        <w:trPr>
          <w:trHeight w:val="225"/>
        </w:trPr>
        <w:tc>
          <w:tcPr>
            <w:tcW w:w="1260" w:type="dxa"/>
            <w:tcBorders>
              <w:top w:val="nil"/>
              <w:left w:val="single" w:sz="4" w:space="0" w:color="auto"/>
              <w:bottom w:val="nil"/>
              <w:right w:val="nil"/>
            </w:tcBorders>
            <w:shd w:val="clear" w:color="000000" w:fill="FFFFFF"/>
            <w:noWrap/>
            <w:vAlign w:val="bottom"/>
            <w:hideMark/>
          </w:tcPr>
          <w:p w14:paraId="32C0155F" w14:textId="77777777" w:rsidR="00432C73" w:rsidRPr="00432C73" w:rsidRDefault="00432C73" w:rsidP="00432C73">
            <w:pPr>
              <w:spacing w:after="0" w:line="240" w:lineRule="auto"/>
              <w:rPr>
                <w:b/>
                <w:bCs/>
                <w:color w:val="000000"/>
                <w:sz w:val="16"/>
                <w:szCs w:val="16"/>
                <w:lang w:eastAsia="en-GB"/>
              </w:rPr>
            </w:pPr>
            <w:r w:rsidRPr="00432C73">
              <w:rPr>
                <w:b/>
                <w:bCs/>
                <w:color w:val="000000"/>
                <w:sz w:val="16"/>
                <w:szCs w:val="16"/>
                <w:lang w:eastAsia="en-GB"/>
              </w:rPr>
              <w:t> </w:t>
            </w:r>
          </w:p>
        </w:tc>
        <w:tc>
          <w:tcPr>
            <w:tcW w:w="1380" w:type="dxa"/>
            <w:tcBorders>
              <w:top w:val="nil"/>
              <w:left w:val="nil"/>
              <w:bottom w:val="nil"/>
              <w:right w:val="nil"/>
            </w:tcBorders>
            <w:shd w:val="clear" w:color="000000" w:fill="FFFFFF"/>
            <w:noWrap/>
            <w:vAlign w:val="bottom"/>
            <w:hideMark/>
          </w:tcPr>
          <w:p w14:paraId="0E00B542" w14:textId="77777777" w:rsidR="00432C73" w:rsidRPr="00432C73" w:rsidRDefault="00432C73" w:rsidP="00432C73">
            <w:pPr>
              <w:spacing w:after="0" w:line="240" w:lineRule="auto"/>
              <w:rPr>
                <w:b/>
                <w:bCs/>
                <w:color w:val="000000"/>
                <w:sz w:val="16"/>
                <w:szCs w:val="16"/>
                <w:lang w:eastAsia="en-GB"/>
              </w:rPr>
            </w:pPr>
            <w:r w:rsidRPr="00432C73">
              <w:rPr>
                <w:b/>
                <w:bCs/>
                <w:color w:val="000000"/>
                <w:sz w:val="16"/>
                <w:szCs w:val="16"/>
                <w:lang w:eastAsia="en-GB"/>
              </w:rPr>
              <w:t>Invoices</w:t>
            </w:r>
          </w:p>
        </w:tc>
        <w:tc>
          <w:tcPr>
            <w:tcW w:w="960" w:type="dxa"/>
            <w:tcBorders>
              <w:top w:val="nil"/>
              <w:left w:val="nil"/>
              <w:bottom w:val="nil"/>
              <w:right w:val="nil"/>
            </w:tcBorders>
            <w:shd w:val="clear" w:color="000000" w:fill="FFFFFF"/>
            <w:noWrap/>
            <w:vAlign w:val="bottom"/>
            <w:hideMark/>
          </w:tcPr>
          <w:p w14:paraId="4C364CFD"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1,712</w:t>
            </w:r>
          </w:p>
        </w:tc>
        <w:tc>
          <w:tcPr>
            <w:tcW w:w="920" w:type="dxa"/>
            <w:tcBorders>
              <w:top w:val="nil"/>
              <w:left w:val="nil"/>
              <w:bottom w:val="nil"/>
              <w:right w:val="nil"/>
            </w:tcBorders>
            <w:shd w:val="clear" w:color="000000" w:fill="FFFFFF"/>
            <w:noWrap/>
            <w:vAlign w:val="bottom"/>
            <w:hideMark/>
          </w:tcPr>
          <w:p w14:paraId="5A345F99"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1,575</w:t>
            </w:r>
          </w:p>
        </w:tc>
        <w:tc>
          <w:tcPr>
            <w:tcW w:w="900" w:type="dxa"/>
            <w:tcBorders>
              <w:top w:val="nil"/>
              <w:left w:val="nil"/>
              <w:bottom w:val="nil"/>
              <w:right w:val="nil"/>
            </w:tcBorders>
            <w:shd w:val="clear" w:color="000000" w:fill="FFFFFF"/>
            <w:noWrap/>
            <w:vAlign w:val="bottom"/>
            <w:hideMark/>
          </w:tcPr>
          <w:p w14:paraId="26445AAF"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1,706</w:t>
            </w:r>
          </w:p>
        </w:tc>
        <w:tc>
          <w:tcPr>
            <w:tcW w:w="920" w:type="dxa"/>
            <w:tcBorders>
              <w:top w:val="nil"/>
              <w:left w:val="nil"/>
              <w:bottom w:val="nil"/>
              <w:right w:val="nil"/>
            </w:tcBorders>
            <w:shd w:val="clear" w:color="000000" w:fill="FFFFFF"/>
            <w:noWrap/>
            <w:vAlign w:val="bottom"/>
            <w:hideMark/>
          </w:tcPr>
          <w:p w14:paraId="2757A6D8"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959</w:t>
            </w:r>
          </w:p>
        </w:tc>
        <w:tc>
          <w:tcPr>
            <w:tcW w:w="880" w:type="dxa"/>
            <w:tcBorders>
              <w:top w:val="nil"/>
              <w:left w:val="nil"/>
              <w:bottom w:val="nil"/>
              <w:right w:val="nil"/>
            </w:tcBorders>
            <w:shd w:val="clear" w:color="000000" w:fill="FFFFFF"/>
            <w:noWrap/>
            <w:vAlign w:val="bottom"/>
            <w:hideMark/>
          </w:tcPr>
          <w:p w14:paraId="68A879F1"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2,449</w:t>
            </w:r>
          </w:p>
        </w:tc>
        <w:tc>
          <w:tcPr>
            <w:tcW w:w="900" w:type="dxa"/>
            <w:tcBorders>
              <w:top w:val="nil"/>
              <w:left w:val="nil"/>
              <w:bottom w:val="nil"/>
              <w:right w:val="nil"/>
            </w:tcBorders>
            <w:shd w:val="clear" w:color="000000" w:fill="FFFFFF"/>
            <w:noWrap/>
            <w:vAlign w:val="bottom"/>
            <w:hideMark/>
          </w:tcPr>
          <w:p w14:paraId="225B0BB6"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2,003</w:t>
            </w:r>
          </w:p>
        </w:tc>
        <w:tc>
          <w:tcPr>
            <w:tcW w:w="880" w:type="dxa"/>
            <w:tcBorders>
              <w:top w:val="nil"/>
              <w:left w:val="nil"/>
              <w:bottom w:val="nil"/>
              <w:right w:val="nil"/>
            </w:tcBorders>
            <w:shd w:val="clear" w:color="000000" w:fill="FFFFFF"/>
            <w:noWrap/>
            <w:vAlign w:val="bottom"/>
            <w:hideMark/>
          </w:tcPr>
          <w:p w14:paraId="19DD13F2"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902</w:t>
            </w:r>
          </w:p>
        </w:tc>
        <w:tc>
          <w:tcPr>
            <w:tcW w:w="920" w:type="dxa"/>
            <w:tcBorders>
              <w:top w:val="nil"/>
              <w:left w:val="nil"/>
              <w:bottom w:val="nil"/>
              <w:right w:val="nil"/>
            </w:tcBorders>
            <w:shd w:val="clear" w:color="000000" w:fill="FFFFFF"/>
            <w:noWrap/>
            <w:vAlign w:val="bottom"/>
            <w:hideMark/>
          </w:tcPr>
          <w:p w14:paraId="5152E1B0"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415</w:t>
            </w:r>
          </w:p>
        </w:tc>
        <w:tc>
          <w:tcPr>
            <w:tcW w:w="880" w:type="dxa"/>
            <w:tcBorders>
              <w:top w:val="nil"/>
              <w:left w:val="nil"/>
              <w:bottom w:val="nil"/>
              <w:right w:val="nil"/>
            </w:tcBorders>
            <w:shd w:val="clear" w:color="000000" w:fill="FFFFFF"/>
            <w:noWrap/>
            <w:vAlign w:val="bottom"/>
            <w:hideMark/>
          </w:tcPr>
          <w:p w14:paraId="73A8EE4F"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1,204</w:t>
            </w:r>
          </w:p>
        </w:tc>
        <w:tc>
          <w:tcPr>
            <w:tcW w:w="880" w:type="dxa"/>
            <w:tcBorders>
              <w:top w:val="nil"/>
              <w:left w:val="nil"/>
              <w:bottom w:val="nil"/>
              <w:right w:val="nil"/>
            </w:tcBorders>
            <w:shd w:val="clear" w:color="000000" w:fill="FFFFFF"/>
            <w:noWrap/>
            <w:vAlign w:val="bottom"/>
            <w:hideMark/>
          </w:tcPr>
          <w:p w14:paraId="32CB3094"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257</w:t>
            </w:r>
          </w:p>
        </w:tc>
        <w:tc>
          <w:tcPr>
            <w:tcW w:w="920" w:type="dxa"/>
            <w:tcBorders>
              <w:top w:val="nil"/>
              <w:left w:val="nil"/>
              <w:bottom w:val="nil"/>
              <w:right w:val="nil"/>
            </w:tcBorders>
            <w:shd w:val="clear" w:color="000000" w:fill="FFFFFF"/>
            <w:noWrap/>
            <w:vAlign w:val="bottom"/>
            <w:hideMark/>
          </w:tcPr>
          <w:p w14:paraId="38137C8D"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2,337</w:t>
            </w:r>
          </w:p>
        </w:tc>
        <w:tc>
          <w:tcPr>
            <w:tcW w:w="880" w:type="dxa"/>
            <w:tcBorders>
              <w:top w:val="nil"/>
              <w:left w:val="nil"/>
              <w:bottom w:val="nil"/>
              <w:right w:val="nil"/>
            </w:tcBorders>
            <w:shd w:val="clear" w:color="000000" w:fill="FFFFFF"/>
            <w:noWrap/>
            <w:vAlign w:val="bottom"/>
            <w:hideMark/>
          </w:tcPr>
          <w:p w14:paraId="5E9DFE72"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734</w:t>
            </w:r>
          </w:p>
        </w:tc>
        <w:tc>
          <w:tcPr>
            <w:tcW w:w="1257" w:type="dxa"/>
            <w:tcBorders>
              <w:top w:val="nil"/>
              <w:left w:val="nil"/>
              <w:bottom w:val="nil"/>
              <w:right w:val="single" w:sz="4" w:space="0" w:color="auto"/>
            </w:tcBorders>
            <w:shd w:val="clear" w:color="000000" w:fill="FFFFFF"/>
            <w:noWrap/>
            <w:vAlign w:val="bottom"/>
            <w:hideMark/>
          </w:tcPr>
          <w:p w14:paraId="6E37315B"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16,254</w:t>
            </w:r>
          </w:p>
        </w:tc>
      </w:tr>
      <w:tr w:rsidR="00432C73" w:rsidRPr="00432C73" w14:paraId="25DDE2CF" w14:textId="77777777" w:rsidTr="005206E0">
        <w:trPr>
          <w:trHeight w:val="225"/>
        </w:trPr>
        <w:tc>
          <w:tcPr>
            <w:tcW w:w="1260" w:type="dxa"/>
            <w:tcBorders>
              <w:top w:val="nil"/>
              <w:left w:val="single" w:sz="4" w:space="0" w:color="auto"/>
              <w:bottom w:val="nil"/>
              <w:right w:val="nil"/>
            </w:tcBorders>
            <w:shd w:val="clear" w:color="000000" w:fill="FFFFFF"/>
            <w:noWrap/>
            <w:vAlign w:val="bottom"/>
            <w:hideMark/>
          </w:tcPr>
          <w:p w14:paraId="3BAFD7BF" w14:textId="77777777" w:rsidR="00432C73" w:rsidRPr="00432C73" w:rsidRDefault="00432C73" w:rsidP="00432C73">
            <w:pPr>
              <w:spacing w:after="0" w:line="240" w:lineRule="auto"/>
              <w:rPr>
                <w:b/>
                <w:bCs/>
                <w:color w:val="000000"/>
                <w:sz w:val="16"/>
                <w:szCs w:val="16"/>
                <w:lang w:eastAsia="en-GB"/>
              </w:rPr>
            </w:pPr>
            <w:r w:rsidRPr="00432C73">
              <w:rPr>
                <w:b/>
                <w:bCs/>
                <w:color w:val="000000"/>
                <w:sz w:val="16"/>
                <w:szCs w:val="16"/>
                <w:lang w:eastAsia="en-GB"/>
              </w:rPr>
              <w:t> </w:t>
            </w:r>
          </w:p>
        </w:tc>
        <w:tc>
          <w:tcPr>
            <w:tcW w:w="1380" w:type="dxa"/>
            <w:tcBorders>
              <w:top w:val="nil"/>
              <w:left w:val="nil"/>
              <w:bottom w:val="nil"/>
              <w:right w:val="nil"/>
            </w:tcBorders>
            <w:shd w:val="clear" w:color="000000" w:fill="FFFFFF"/>
            <w:noWrap/>
            <w:vAlign w:val="bottom"/>
            <w:hideMark/>
          </w:tcPr>
          <w:p w14:paraId="63F48311" w14:textId="77777777" w:rsidR="00432C73" w:rsidRPr="00432C73" w:rsidRDefault="00432C73" w:rsidP="00432C73">
            <w:pPr>
              <w:spacing w:after="0" w:line="240" w:lineRule="auto"/>
              <w:rPr>
                <w:b/>
                <w:bCs/>
                <w:color w:val="000000"/>
                <w:sz w:val="16"/>
                <w:szCs w:val="16"/>
                <w:lang w:eastAsia="en-GB"/>
              </w:rPr>
            </w:pPr>
            <w:r w:rsidRPr="00432C73">
              <w:rPr>
                <w:b/>
                <w:bCs/>
                <w:color w:val="000000"/>
                <w:sz w:val="16"/>
                <w:szCs w:val="16"/>
                <w:lang w:eastAsia="en-GB"/>
              </w:rPr>
              <w:t>Payments</w:t>
            </w:r>
          </w:p>
        </w:tc>
        <w:tc>
          <w:tcPr>
            <w:tcW w:w="960" w:type="dxa"/>
            <w:tcBorders>
              <w:top w:val="nil"/>
              <w:left w:val="nil"/>
              <w:bottom w:val="nil"/>
              <w:right w:val="nil"/>
            </w:tcBorders>
            <w:shd w:val="clear" w:color="000000" w:fill="FFFFFF"/>
            <w:noWrap/>
            <w:vAlign w:val="bottom"/>
            <w:hideMark/>
          </w:tcPr>
          <w:p w14:paraId="3655045C"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(2066)</w:t>
            </w:r>
          </w:p>
        </w:tc>
        <w:tc>
          <w:tcPr>
            <w:tcW w:w="920" w:type="dxa"/>
            <w:tcBorders>
              <w:top w:val="nil"/>
              <w:left w:val="nil"/>
              <w:bottom w:val="nil"/>
              <w:right w:val="nil"/>
            </w:tcBorders>
            <w:shd w:val="clear" w:color="000000" w:fill="FFFFFF"/>
            <w:noWrap/>
            <w:vAlign w:val="bottom"/>
            <w:hideMark/>
          </w:tcPr>
          <w:p w14:paraId="76950773"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(103)</w:t>
            </w:r>
          </w:p>
        </w:tc>
        <w:tc>
          <w:tcPr>
            <w:tcW w:w="900" w:type="dxa"/>
            <w:tcBorders>
              <w:top w:val="nil"/>
              <w:left w:val="nil"/>
              <w:bottom w:val="nil"/>
              <w:right w:val="nil"/>
            </w:tcBorders>
            <w:shd w:val="clear" w:color="000000" w:fill="FFFFFF"/>
            <w:noWrap/>
            <w:vAlign w:val="bottom"/>
            <w:hideMark/>
          </w:tcPr>
          <w:p w14:paraId="4E4BB24D"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(385)</w:t>
            </w:r>
          </w:p>
        </w:tc>
        <w:tc>
          <w:tcPr>
            <w:tcW w:w="920" w:type="dxa"/>
            <w:tcBorders>
              <w:top w:val="nil"/>
              <w:left w:val="nil"/>
              <w:bottom w:val="nil"/>
              <w:right w:val="nil"/>
            </w:tcBorders>
            <w:shd w:val="clear" w:color="000000" w:fill="FFFFFF"/>
            <w:noWrap/>
            <w:vAlign w:val="bottom"/>
            <w:hideMark/>
          </w:tcPr>
          <w:p w14:paraId="490400A0"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(278)</w:t>
            </w:r>
          </w:p>
        </w:tc>
        <w:tc>
          <w:tcPr>
            <w:tcW w:w="880" w:type="dxa"/>
            <w:tcBorders>
              <w:top w:val="nil"/>
              <w:left w:val="nil"/>
              <w:bottom w:val="nil"/>
              <w:right w:val="nil"/>
            </w:tcBorders>
            <w:shd w:val="clear" w:color="000000" w:fill="FFFFFF"/>
            <w:noWrap/>
            <w:vAlign w:val="bottom"/>
            <w:hideMark/>
          </w:tcPr>
          <w:p w14:paraId="3998CCFF"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(1132)</w:t>
            </w:r>
          </w:p>
        </w:tc>
        <w:tc>
          <w:tcPr>
            <w:tcW w:w="900" w:type="dxa"/>
            <w:tcBorders>
              <w:top w:val="nil"/>
              <w:left w:val="nil"/>
              <w:bottom w:val="nil"/>
              <w:right w:val="nil"/>
            </w:tcBorders>
            <w:shd w:val="clear" w:color="000000" w:fill="FFFFFF"/>
            <w:noWrap/>
            <w:vAlign w:val="bottom"/>
            <w:hideMark/>
          </w:tcPr>
          <w:p w14:paraId="35FD286E"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(2473)</w:t>
            </w:r>
          </w:p>
        </w:tc>
        <w:tc>
          <w:tcPr>
            <w:tcW w:w="880" w:type="dxa"/>
            <w:tcBorders>
              <w:top w:val="nil"/>
              <w:left w:val="nil"/>
              <w:bottom w:val="nil"/>
              <w:right w:val="nil"/>
            </w:tcBorders>
            <w:shd w:val="clear" w:color="000000" w:fill="FFFFFF"/>
            <w:noWrap/>
            <w:vAlign w:val="bottom"/>
            <w:hideMark/>
          </w:tcPr>
          <w:p w14:paraId="4C04DCFA"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(2160)</w:t>
            </w:r>
          </w:p>
        </w:tc>
        <w:tc>
          <w:tcPr>
            <w:tcW w:w="920" w:type="dxa"/>
            <w:tcBorders>
              <w:top w:val="nil"/>
              <w:left w:val="nil"/>
              <w:bottom w:val="nil"/>
              <w:right w:val="nil"/>
            </w:tcBorders>
            <w:shd w:val="clear" w:color="000000" w:fill="FFFFFF"/>
            <w:noWrap/>
            <w:vAlign w:val="bottom"/>
            <w:hideMark/>
          </w:tcPr>
          <w:p w14:paraId="719E3490"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(1644)</w:t>
            </w:r>
          </w:p>
        </w:tc>
        <w:tc>
          <w:tcPr>
            <w:tcW w:w="880" w:type="dxa"/>
            <w:tcBorders>
              <w:top w:val="nil"/>
              <w:left w:val="nil"/>
              <w:bottom w:val="nil"/>
              <w:right w:val="nil"/>
            </w:tcBorders>
            <w:shd w:val="clear" w:color="000000" w:fill="FFFFFF"/>
            <w:noWrap/>
            <w:vAlign w:val="bottom"/>
            <w:hideMark/>
          </w:tcPr>
          <w:p w14:paraId="5D537F08"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(345)</w:t>
            </w:r>
          </w:p>
        </w:tc>
        <w:tc>
          <w:tcPr>
            <w:tcW w:w="880" w:type="dxa"/>
            <w:tcBorders>
              <w:top w:val="nil"/>
              <w:left w:val="nil"/>
              <w:bottom w:val="nil"/>
              <w:right w:val="nil"/>
            </w:tcBorders>
            <w:shd w:val="clear" w:color="000000" w:fill="FFFFFF"/>
            <w:noWrap/>
            <w:vAlign w:val="bottom"/>
            <w:hideMark/>
          </w:tcPr>
          <w:p w14:paraId="673D4685"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(1541)</w:t>
            </w:r>
          </w:p>
        </w:tc>
        <w:tc>
          <w:tcPr>
            <w:tcW w:w="920" w:type="dxa"/>
            <w:tcBorders>
              <w:top w:val="nil"/>
              <w:left w:val="nil"/>
              <w:bottom w:val="nil"/>
              <w:right w:val="nil"/>
            </w:tcBorders>
            <w:shd w:val="clear" w:color="000000" w:fill="FFFFFF"/>
            <w:noWrap/>
            <w:vAlign w:val="bottom"/>
            <w:hideMark/>
          </w:tcPr>
          <w:p w14:paraId="34C75CBF"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(1164)</w:t>
            </w:r>
          </w:p>
        </w:tc>
        <w:tc>
          <w:tcPr>
            <w:tcW w:w="880" w:type="dxa"/>
            <w:tcBorders>
              <w:top w:val="nil"/>
              <w:left w:val="nil"/>
              <w:bottom w:val="nil"/>
              <w:right w:val="nil"/>
            </w:tcBorders>
            <w:shd w:val="clear" w:color="000000" w:fill="FFFFFF"/>
            <w:noWrap/>
            <w:vAlign w:val="bottom"/>
            <w:hideMark/>
          </w:tcPr>
          <w:p w14:paraId="5F3DCB99"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(1178)</w:t>
            </w:r>
          </w:p>
        </w:tc>
        <w:tc>
          <w:tcPr>
            <w:tcW w:w="1257" w:type="dxa"/>
            <w:tcBorders>
              <w:top w:val="nil"/>
              <w:left w:val="nil"/>
              <w:bottom w:val="nil"/>
              <w:right w:val="single" w:sz="4" w:space="0" w:color="auto"/>
            </w:tcBorders>
            <w:shd w:val="clear" w:color="000000" w:fill="FFFFFF"/>
            <w:noWrap/>
            <w:vAlign w:val="bottom"/>
            <w:hideMark/>
          </w:tcPr>
          <w:p w14:paraId="60B89FF8"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(14469)</w:t>
            </w:r>
          </w:p>
        </w:tc>
      </w:tr>
      <w:tr w:rsidR="00432C73" w:rsidRPr="00432C73" w14:paraId="172702D2" w14:textId="77777777" w:rsidTr="005206E0">
        <w:trPr>
          <w:trHeight w:val="225"/>
        </w:trPr>
        <w:tc>
          <w:tcPr>
            <w:tcW w:w="1260" w:type="dxa"/>
            <w:tcBorders>
              <w:top w:val="nil"/>
              <w:left w:val="single" w:sz="4" w:space="0" w:color="auto"/>
              <w:bottom w:val="single" w:sz="4" w:space="0" w:color="auto"/>
              <w:right w:val="nil"/>
            </w:tcBorders>
            <w:shd w:val="clear" w:color="000000" w:fill="FFFFFF"/>
            <w:noWrap/>
            <w:vAlign w:val="bottom"/>
            <w:hideMark/>
          </w:tcPr>
          <w:p w14:paraId="4C52E063" w14:textId="77777777" w:rsidR="00432C73" w:rsidRPr="00432C73" w:rsidRDefault="00432C73" w:rsidP="00432C73">
            <w:pPr>
              <w:spacing w:after="0" w:line="240" w:lineRule="auto"/>
              <w:rPr>
                <w:b/>
                <w:bCs/>
                <w:color w:val="000000"/>
                <w:sz w:val="16"/>
                <w:szCs w:val="16"/>
                <w:lang w:eastAsia="en-GB"/>
              </w:rPr>
            </w:pPr>
            <w:r w:rsidRPr="00432C73">
              <w:rPr>
                <w:b/>
                <w:bCs/>
                <w:color w:val="000000"/>
                <w:sz w:val="16"/>
                <w:szCs w:val="16"/>
                <w:lang w:eastAsia="en-GB"/>
              </w:rPr>
              <w:t> </w:t>
            </w:r>
          </w:p>
        </w:tc>
        <w:tc>
          <w:tcPr>
            <w:tcW w:w="1380" w:type="dxa"/>
            <w:tcBorders>
              <w:top w:val="nil"/>
              <w:left w:val="nil"/>
              <w:bottom w:val="single" w:sz="4" w:space="0" w:color="auto"/>
              <w:right w:val="nil"/>
            </w:tcBorders>
            <w:shd w:val="clear" w:color="000000" w:fill="FFFFFF"/>
            <w:noWrap/>
            <w:vAlign w:val="bottom"/>
            <w:hideMark/>
          </w:tcPr>
          <w:p w14:paraId="227710DB" w14:textId="77777777" w:rsidR="00432C73" w:rsidRPr="00432C73" w:rsidRDefault="00432C73" w:rsidP="00432C73">
            <w:pPr>
              <w:spacing w:after="0" w:line="240" w:lineRule="auto"/>
              <w:rPr>
                <w:b/>
                <w:bCs/>
                <w:color w:val="000000"/>
                <w:sz w:val="16"/>
                <w:szCs w:val="16"/>
                <w:lang w:eastAsia="en-GB"/>
              </w:rPr>
            </w:pPr>
            <w:r w:rsidRPr="00432C73">
              <w:rPr>
                <w:b/>
                <w:bCs/>
                <w:color w:val="000000"/>
                <w:sz w:val="16"/>
                <w:szCs w:val="16"/>
                <w:lang w:eastAsia="en-GB"/>
              </w:rPr>
              <w:t>Closing Debtors</w:t>
            </w:r>
          </w:p>
        </w:tc>
        <w:tc>
          <w:tcPr>
            <w:tcW w:w="960" w:type="dxa"/>
            <w:tcBorders>
              <w:top w:val="nil"/>
              <w:left w:val="nil"/>
              <w:bottom w:val="single" w:sz="4" w:space="0" w:color="auto"/>
              <w:right w:val="nil"/>
            </w:tcBorders>
            <w:shd w:val="clear" w:color="000000" w:fill="FFFFFF"/>
            <w:noWrap/>
            <w:vAlign w:val="bottom"/>
            <w:hideMark/>
          </w:tcPr>
          <w:p w14:paraId="4CCE61B2"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12,757</w:t>
            </w:r>
          </w:p>
        </w:tc>
        <w:tc>
          <w:tcPr>
            <w:tcW w:w="920" w:type="dxa"/>
            <w:tcBorders>
              <w:top w:val="nil"/>
              <w:left w:val="nil"/>
              <w:bottom w:val="single" w:sz="4" w:space="0" w:color="auto"/>
              <w:right w:val="nil"/>
            </w:tcBorders>
            <w:shd w:val="clear" w:color="000000" w:fill="FFFFFF"/>
            <w:noWrap/>
            <w:vAlign w:val="bottom"/>
            <w:hideMark/>
          </w:tcPr>
          <w:p w14:paraId="2486D616"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14,230</w:t>
            </w:r>
          </w:p>
        </w:tc>
        <w:tc>
          <w:tcPr>
            <w:tcW w:w="900" w:type="dxa"/>
            <w:tcBorders>
              <w:top w:val="nil"/>
              <w:left w:val="nil"/>
              <w:bottom w:val="single" w:sz="4" w:space="0" w:color="auto"/>
              <w:right w:val="nil"/>
            </w:tcBorders>
            <w:shd w:val="clear" w:color="000000" w:fill="FFFFFF"/>
            <w:noWrap/>
            <w:vAlign w:val="bottom"/>
            <w:hideMark/>
          </w:tcPr>
          <w:p w14:paraId="63CFDD76"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15,587</w:t>
            </w:r>
          </w:p>
        </w:tc>
        <w:tc>
          <w:tcPr>
            <w:tcW w:w="920" w:type="dxa"/>
            <w:tcBorders>
              <w:top w:val="nil"/>
              <w:left w:val="nil"/>
              <w:bottom w:val="single" w:sz="4" w:space="0" w:color="auto"/>
              <w:right w:val="nil"/>
            </w:tcBorders>
            <w:shd w:val="clear" w:color="000000" w:fill="FFFFFF"/>
            <w:noWrap/>
            <w:vAlign w:val="bottom"/>
            <w:hideMark/>
          </w:tcPr>
          <w:p w14:paraId="386FDF0B"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16,270</w:t>
            </w:r>
          </w:p>
        </w:tc>
        <w:tc>
          <w:tcPr>
            <w:tcW w:w="880" w:type="dxa"/>
            <w:tcBorders>
              <w:top w:val="nil"/>
              <w:left w:val="nil"/>
              <w:bottom w:val="single" w:sz="4" w:space="0" w:color="auto"/>
              <w:right w:val="nil"/>
            </w:tcBorders>
            <w:shd w:val="clear" w:color="000000" w:fill="FFFFFF"/>
            <w:noWrap/>
            <w:vAlign w:val="bottom"/>
            <w:hideMark/>
          </w:tcPr>
          <w:p w14:paraId="36CC8768"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17,583</w:t>
            </w:r>
          </w:p>
        </w:tc>
        <w:tc>
          <w:tcPr>
            <w:tcW w:w="900" w:type="dxa"/>
            <w:tcBorders>
              <w:top w:val="nil"/>
              <w:left w:val="nil"/>
              <w:bottom w:val="single" w:sz="4" w:space="0" w:color="auto"/>
              <w:right w:val="nil"/>
            </w:tcBorders>
            <w:shd w:val="clear" w:color="000000" w:fill="FFFFFF"/>
            <w:noWrap/>
            <w:vAlign w:val="bottom"/>
            <w:hideMark/>
          </w:tcPr>
          <w:p w14:paraId="5F737586"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17,112</w:t>
            </w:r>
          </w:p>
        </w:tc>
        <w:tc>
          <w:tcPr>
            <w:tcW w:w="880" w:type="dxa"/>
            <w:tcBorders>
              <w:top w:val="nil"/>
              <w:left w:val="nil"/>
              <w:bottom w:val="single" w:sz="4" w:space="0" w:color="auto"/>
              <w:right w:val="nil"/>
            </w:tcBorders>
            <w:shd w:val="clear" w:color="000000" w:fill="FFFFFF"/>
            <w:noWrap/>
            <w:vAlign w:val="bottom"/>
            <w:hideMark/>
          </w:tcPr>
          <w:p w14:paraId="6B70803A"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15,848</w:t>
            </w:r>
          </w:p>
        </w:tc>
        <w:tc>
          <w:tcPr>
            <w:tcW w:w="920" w:type="dxa"/>
            <w:tcBorders>
              <w:top w:val="nil"/>
              <w:left w:val="nil"/>
              <w:bottom w:val="single" w:sz="4" w:space="0" w:color="auto"/>
              <w:right w:val="nil"/>
            </w:tcBorders>
            <w:shd w:val="clear" w:color="000000" w:fill="FFFFFF"/>
            <w:noWrap/>
            <w:vAlign w:val="bottom"/>
            <w:hideMark/>
          </w:tcPr>
          <w:p w14:paraId="55F41626"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14,618</w:t>
            </w:r>
          </w:p>
        </w:tc>
        <w:tc>
          <w:tcPr>
            <w:tcW w:w="880" w:type="dxa"/>
            <w:tcBorders>
              <w:top w:val="nil"/>
              <w:left w:val="nil"/>
              <w:bottom w:val="single" w:sz="4" w:space="0" w:color="auto"/>
              <w:right w:val="nil"/>
            </w:tcBorders>
            <w:shd w:val="clear" w:color="000000" w:fill="FFFFFF"/>
            <w:noWrap/>
            <w:vAlign w:val="bottom"/>
            <w:hideMark/>
          </w:tcPr>
          <w:p w14:paraId="10028AFF"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15,488</w:t>
            </w:r>
          </w:p>
        </w:tc>
        <w:tc>
          <w:tcPr>
            <w:tcW w:w="880" w:type="dxa"/>
            <w:tcBorders>
              <w:top w:val="nil"/>
              <w:left w:val="nil"/>
              <w:bottom w:val="single" w:sz="4" w:space="0" w:color="auto"/>
              <w:right w:val="nil"/>
            </w:tcBorders>
            <w:shd w:val="clear" w:color="000000" w:fill="FFFFFF"/>
            <w:noWrap/>
            <w:vAlign w:val="bottom"/>
            <w:hideMark/>
          </w:tcPr>
          <w:p w14:paraId="4C9B0E49"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14,172</w:t>
            </w:r>
          </w:p>
        </w:tc>
        <w:tc>
          <w:tcPr>
            <w:tcW w:w="920" w:type="dxa"/>
            <w:tcBorders>
              <w:top w:val="nil"/>
              <w:left w:val="nil"/>
              <w:bottom w:val="single" w:sz="4" w:space="0" w:color="auto"/>
              <w:right w:val="nil"/>
            </w:tcBorders>
            <w:shd w:val="clear" w:color="000000" w:fill="FFFFFF"/>
            <w:noWrap/>
            <w:vAlign w:val="bottom"/>
            <w:hideMark/>
          </w:tcPr>
          <w:p w14:paraId="737FE274"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15,346</w:t>
            </w:r>
          </w:p>
        </w:tc>
        <w:tc>
          <w:tcPr>
            <w:tcW w:w="880" w:type="dxa"/>
            <w:tcBorders>
              <w:top w:val="nil"/>
              <w:left w:val="nil"/>
              <w:bottom w:val="single" w:sz="4" w:space="0" w:color="auto"/>
              <w:right w:val="nil"/>
            </w:tcBorders>
            <w:shd w:val="clear" w:color="000000" w:fill="FFFFFF"/>
            <w:noWrap/>
            <w:vAlign w:val="bottom"/>
            <w:hideMark/>
          </w:tcPr>
          <w:p w14:paraId="0C1F777A"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14,914</w:t>
            </w:r>
          </w:p>
        </w:tc>
        <w:tc>
          <w:tcPr>
            <w:tcW w:w="1257" w:type="dxa"/>
            <w:tcBorders>
              <w:top w:val="nil"/>
              <w:left w:val="nil"/>
              <w:bottom w:val="single" w:sz="4" w:space="0" w:color="auto"/>
              <w:right w:val="single" w:sz="4" w:space="0" w:color="auto"/>
            </w:tcBorders>
            <w:shd w:val="clear" w:color="000000" w:fill="FFFFFF"/>
            <w:noWrap/>
            <w:vAlign w:val="bottom"/>
            <w:hideMark/>
          </w:tcPr>
          <w:p w14:paraId="2E373633" w14:textId="77777777" w:rsidR="00432C73" w:rsidRPr="00432C73" w:rsidRDefault="00432C73" w:rsidP="00432C73">
            <w:pPr>
              <w:spacing w:after="0" w:line="240" w:lineRule="auto"/>
              <w:jc w:val="right"/>
              <w:rPr>
                <w:b/>
                <w:bCs/>
                <w:color w:val="000000"/>
                <w:sz w:val="16"/>
                <w:szCs w:val="16"/>
                <w:lang w:eastAsia="en-GB"/>
              </w:rPr>
            </w:pPr>
            <w:r w:rsidRPr="00432C73">
              <w:rPr>
                <w:b/>
                <w:bCs/>
                <w:color w:val="000000"/>
                <w:sz w:val="16"/>
                <w:szCs w:val="16"/>
                <w:lang w:eastAsia="en-GB"/>
              </w:rPr>
              <w:t>14,914</w:t>
            </w:r>
          </w:p>
        </w:tc>
      </w:tr>
    </w:tbl>
    <w:p w14:paraId="604308DB" w14:textId="1AD57E7A" w:rsidR="003F6ED2" w:rsidRDefault="003F6ED2"/>
    <w:p w14:paraId="57C3C36E" w14:textId="1A5FB87F" w:rsidR="003F6ED2" w:rsidRDefault="005206E0" w:rsidP="006C5C41">
      <w:pPr>
        <w:jc w:val="center"/>
      </w:pPr>
      <w:r w:rsidRPr="005206E0">
        <w:rPr>
          <w:noProof/>
        </w:rPr>
        <w:drawing>
          <wp:inline distT="0" distB="0" distL="0" distR="0" wp14:anchorId="55532429" wp14:editId="16AD88A4">
            <wp:extent cx="9191625" cy="4476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91625" cy="447675"/>
                    </a:xfrm>
                    <a:prstGeom prst="rect">
                      <a:avLst/>
                    </a:prstGeom>
                    <a:noFill/>
                    <a:ln>
                      <a:noFill/>
                    </a:ln>
                  </pic:spPr>
                </pic:pic>
              </a:graphicData>
            </a:graphic>
          </wp:inline>
        </w:drawing>
      </w:r>
    </w:p>
    <w:p w14:paraId="4612597B" w14:textId="0F9A0F0B" w:rsidR="00A13A60" w:rsidRDefault="00A13A60"/>
    <w:tbl>
      <w:tblPr>
        <w:tblStyle w:val="TableGrid"/>
        <w:tblW w:w="0" w:type="auto"/>
        <w:tblLook w:val="04A0" w:firstRow="1" w:lastRow="0" w:firstColumn="1" w:lastColumn="0" w:noHBand="0" w:noVBand="1"/>
      </w:tblPr>
      <w:tblGrid>
        <w:gridCol w:w="14979"/>
      </w:tblGrid>
      <w:tr w:rsidR="006107A8" w:rsidRPr="006107A8" w14:paraId="7A533EFE" w14:textId="77777777" w:rsidTr="006107A8">
        <w:tc>
          <w:tcPr>
            <w:tcW w:w="14979" w:type="dxa"/>
            <w:shd w:val="clear" w:color="auto" w:fill="D9D9D9" w:themeFill="background1" w:themeFillShade="D9"/>
          </w:tcPr>
          <w:p w14:paraId="1867D56E" w14:textId="197616F9" w:rsidR="006107A8" w:rsidRPr="006107A8" w:rsidRDefault="006107A8" w:rsidP="006107A8">
            <w:pPr>
              <w:spacing w:after="0" w:line="240" w:lineRule="auto"/>
              <w:jc w:val="center"/>
              <w:rPr>
                <w:rFonts w:ascii="Arial" w:hAnsi="Arial" w:cs="Arial"/>
                <w:b/>
              </w:rPr>
            </w:pPr>
            <w:r w:rsidRPr="006107A8">
              <w:rPr>
                <w:rFonts w:ascii="Arial" w:hAnsi="Arial" w:cs="Arial"/>
                <w:b/>
              </w:rPr>
              <w:t>Annex K – Aged Debtor Profile</w:t>
            </w:r>
            <w:r>
              <w:rPr>
                <w:rFonts w:ascii="Arial" w:hAnsi="Arial" w:cs="Arial"/>
                <w:b/>
              </w:rPr>
              <w:t>: main overseas accounts</w:t>
            </w:r>
          </w:p>
          <w:p w14:paraId="5AE7667A" w14:textId="64186F04" w:rsidR="006107A8" w:rsidRPr="006107A8" w:rsidRDefault="006107A8" w:rsidP="00725405">
            <w:pPr>
              <w:spacing w:after="0" w:line="240" w:lineRule="auto"/>
            </w:pPr>
          </w:p>
        </w:tc>
      </w:tr>
    </w:tbl>
    <w:p w14:paraId="671AF0F0" w14:textId="223E1800" w:rsidR="003F6ED2" w:rsidRDefault="003F6ED2"/>
    <w:p w14:paraId="432B8BC5" w14:textId="27626FBF" w:rsidR="006107A8" w:rsidRDefault="00676582">
      <w:r w:rsidRPr="00676582">
        <w:rPr>
          <w:noProof/>
        </w:rPr>
        <w:drawing>
          <wp:inline distT="0" distB="0" distL="0" distR="0" wp14:anchorId="0B35ED5B" wp14:editId="5B5E731D">
            <wp:extent cx="9201150" cy="2971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201150" cy="2971800"/>
                    </a:xfrm>
                    <a:prstGeom prst="rect">
                      <a:avLst/>
                    </a:prstGeom>
                    <a:noFill/>
                    <a:ln>
                      <a:noFill/>
                    </a:ln>
                  </pic:spPr>
                </pic:pic>
              </a:graphicData>
            </a:graphic>
          </wp:inline>
        </w:drawing>
      </w:r>
    </w:p>
    <w:p w14:paraId="1D6DFC49" w14:textId="2A7E196C" w:rsidR="003F6ED2" w:rsidRDefault="00E97B42">
      <w:r>
        <w:tab/>
      </w:r>
      <w:r>
        <w:tab/>
      </w:r>
      <w:r>
        <w:tab/>
      </w:r>
      <w:r>
        <w:tab/>
      </w:r>
      <w:r>
        <w:tab/>
      </w:r>
      <w:r>
        <w:tab/>
      </w:r>
      <w:r>
        <w:tab/>
      </w:r>
      <w:r>
        <w:tab/>
      </w:r>
      <w:r>
        <w:tab/>
      </w:r>
      <w:r>
        <w:tab/>
      </w:r>
      <w:r>
        <w:tab/>
      </w:r>
      <w:r>
        <w:tab/>
      </w:r>
      <w:r>
        <w:tab/>
      </w:r>
      <w:r>
        <w:tab/>
      </w:r>
      <w:r>
        <w:tab/>
      </w:r>
      <w:r>
        <w:tab/>
      </w:r>
      <w:r>
        <w:tab/>
      </w:r>
    </w:p>
    <w:p w14:paraId="6E5B0437" w14:textId="3568FB4D" w:rsidR="006107A8" w:rsidRDefault="006107A8"/>
    <w:p w14:paraId="177D91EA" w14:textId="04038B27" w:rsidR="006107A8" w:rsidRDefault="006107A8"/>
    <w:p w14:paraId="16FE16C9" w14:textId="50DE751A" w:rsidR="006107A8" w:rsidRDefault="006107A8"/>
    <w:p w14:paraId="013F5113" w14:textId="64238DD4" w:rsidR="006107A8" w:rsidRDefault="006107A8"/>
    <w:p w14:paraId="4304F30E" w14:textId="26F8262A" w:rsidR="006107A8" w:rsidRDefault="006107A8"/>
    <w:p w14:paraId="18DCEDEE" w14:textId="5B2550BE" w:rsidR="006107A8" w:rsidRDefault="006107A8"/>
    <w:p w14:paraId="41977AC4" w14:textId="00576266" w:rsidR="006107A8" w:rsidRDefault="006107A8"/>
    <w:p w14:paraId="336683B9" w14:textId="77777777" w:rsidR="006107A8" w:rsidRDefault="006107A8"/>
    <w:tbl>
      <w:tblPr>
        <w:tblW w:w="5000" w:type="pct"/>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14979"/>
      </w:tblGrid>
      <w:tr w:rsidR="0060216A" w:rsidRPr="000420F5" w14:paraId="4A8401F8" w14:textId="77777777" w:rsidTr="00F11068">
        <w:trPr>
          <w:jc w:val="center"/>
        </w:trPr>
        <w:tc>
          <w:tcPr>
            <w:tcW w:w="5000" w:type="pct"/>
            <w:shd w:val="clear" w:color="auto" w:fill="D9D9D9" w:themeFill="background1" w:themeFillShade="D9"/>
          </w:tcPr>
          <w:p w14:paraId="1CA03E55" w14:textId="555C152D" w:rsidR="0060216A" w:rsidRPr="000420F5" w:rsidRDefault="003F6ED2" w:rsidP="005752FA">
            <w:pPr>
              <w:spacing w:before="120" w:after="120"/>
              <w:jc w:val="center"/>
              <w:rPr>
                <w:rFonts w:ascii="Arial" w:eastAsia="Arial Unicode MS" w:hAnsi="Arial" w:cs="Arial"/>
              </w:rPr>
            </w:pPr>
            <w:r>
              <w:br w:type="page"/>
            </w:r>
            <w:r w:rsidR="0060216A" w:rsidRPr="000420F5">
              <w:rPr>
                <w:rFonts w:ascii="Arial" w:hAnsi="Arial" w:cs="Arial"/>
                <w:b/>
                <w:bCs/>
              </w:rPr>
              <w:t xml:space="preserve">Annex </w:t>
            </w:r>
            <w:r w:rsidR="00A13A60">
              <w:rPr>
                <w:rFonts w:ascii="Arial" w:hAnsi="Arial" w:cs="Arial"/>
                <w:b/>
                <w:bCs/>
              </w:rPr>
              <w:t>L</w:t>
            </w:r>
            <w:r w:rsidR="0060216A" w:rsidRPr="000420F5">
              <w:rPr>
                <w:rFonts w:ascii="Arial" w:hAnsi="Arial" w:cs="Arial"/>
                <w:b/>
                <w:bCs/>
              </w:rPr>
              <w:t xml:space="preserve"> – Better Payment Practice Code</w:t>
            </w:r>
            <w:r w:rsidR="008B5202">
              <w:rPr>
                <w:rFonts w:ascii="Arial" w:hAnsi="Arial" w:cs="Arial"/>
                <w:b/>
                <w:bCs/>
              </w:rPr>
              <w:t xml:space="preserve"> </w:t>
            </w:r>
          </w:p>
        </w:tc>
      </w:tr>
    </w:tbl>
    <w:p w14:paraId="454C5EAF" w14:textId="77777777" w:rsidR="0060216A" w:rsidRDefault="0060216A" w:rsidP="006440B1">
      <w:pPr>
        <w:spacing w:after="0"/>
        <w:rPr>
          <w:noProof/>
          <w:lang w:eastAsia="en-GB"/>
        </w:rPr>
      </w:pPr>
    </w:p>
    <w:p w14:paraId="1DD94661" w14:textId="70711CB6" w:rsidR="0060216A" w:rsidRDefault="007843C1" w:rsidP="003E0E81">
      <w:pPr>
        <w:spacing w:after="0"/>
        <w:jc w:val="center"/>
        <w:rPr>
          <w:noProof/>
          <w:lang w:eastAsia="en-GB"/>
        </w:rPr>
      </w:pPr>
      <w:r w:rsidRPr="007843C1">
        <w:rPr>
          <w:noProof/>
        </w:rPr>
        <w:drawing>
          <wp:inline distT="0" distB="0" distL="0" distR="0" wp14:anchorId="3FF1D80B" wp14:editId="2F307123">
            <wp:extent cx="6276975" cy="3057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76975" cy="3057525"/>
                    </a:xfrm>
                    <a:prstGeom prst="rect">
                      <a:avLst/>
                    </a:prstGeom>
                    <a:noFill/>
                    <a:ln>
                      <a:noFill/>
                    </a:ln>
                  </pic:spPr>
                </pic:pic>
              </a:graphicData>
            </a:graphic>
          </wp:inline>
        </w:drawing>
      </w:r>
    </w:p>
    <w:p w14:paraId="336DB2CF" w14:textId="29CB04F4" w:rsidR="007C55BB" w:rsidRDefault="007C55BB" w:rsidP="00F11068">
      <w:pPr>
        <w:spacing w:after="0"/>
        <w:jc w:val="center"/>
        <w:rPr>
          <w:rFonts w:ascii="Arial" w:hAnsi="Arial" w:cs="Arial"/>
          <w:lang w:eastAsia="en-GB"/>
        </w:rPr>
      </w:pPr>
    </w:p>
    <w:p w14:paraId="12717230" w14:textId="77777777" w:rsidR="005752FA" w:rsidRDefault="005752FA" w:rsidP="00F11068">
      <w:pPr>
        <w:spacing w:after="0"/>
        <w:jc w:val="center"/>
        <w:rPr>
          <w:rFonts w:ascii="Arial" w:hAnsi="Arial" w:cs="Arial"/>
          <w:lang w:eastAsia="en-GB"/>
        </w:rPr>
      </w:pPr>
    </w:p>
    <w:p w14:paraId="25365DC0" w14:textId="77777777" w:rsidR="005752FA" w:rsidRDefault="005752FA" w:rsidP="00F11068">
      <w:pPr>
        <w:spacing w:after="0"/>
        <w:jc w:val="center"/>
        <w:rPr>
          <w:rFonts w:ascii="Arial" w:hAnsi="Arial" w:cs="Arial"/>
          <w:lang w:eastAsia="en-GB"/>
        </w:rPr>
      </w:pPr>
    </w:p>
    <w:p w14:paraId="31B75F13" w14:textId="1ED1AB33" w:rsidR="005752FA" w:rsidRPr="00767ADD" w:rsidRDefault="00C37DCB" w:rsidP="00767ADD">
      <w:pPr>
        <w:spacing w:after="0"/>
        <w:rPr>
          <w:rFonts w:ascii="Arial" w:hAnsi="Arial" w:cs="Arial"/>
          <w:lang w:eastAsia="en-GB"/>
        </w:rPr>
      </w:pPr>
      <w:r w:rsidRPr="00767ADD">
        <w:rPr>
          <w:rFonts w:ascii="Arial" w:hAnsi="Arial" w:cs="Arial"/>
          <w:lang w:eastAsia="en-GB"/>
        </w:rPr>
        <w:t xml:space="preserve">The target for BPPC is that 95% of </w:t>
      </w:r>
      <w:r w:rsidR="00767ADD" w:rsidRPr="00767ADD">
        <w:rPr>
          <w:rFonts w:ascii="Arial" w:hAnsi="Arial" w:cs="Arial"/>
        </w:rPr>
        <w:t xml:space="preserve">all </w:t>
      </w:r>
      <w:r w:rsidR="00767ADD">
        <w:rPr>
          <w:rFonts w:ascii="Arial" w:hAnsi="Arial" w:cs="Arial"/>
        </w:rPr>
        <w:t xml:space="preserve">valid &amp; </w:t>
      </w:r>
      <w:r w:rsidR="00767ADD" w:rsidRPr="00767ADD">
        <w:rPr>
          <w:rFonts w:ascii="Arial" w:hAnsi="Arial" w:cs="Arial"/>
        </w:rPr>
        <w:t xml:space="preserve">undisputed </w:t>
      </w:r>
      <w:r w:rsidR="005D5222">
        <w:rPr>
          <w:rFonts w:ascii="Arial" w:hAnsi="Arial" w:cs="Arial"/>
        </w:rPr>
        <w:t xml:space="preserve">NHS and </w:t>
      </w:r>
      <w:r w:rsidR="000F71A5">
        <w:rPr>
          <w:rFonts w:ascii="Arial" w:hAnsi="Arial" w:cs="Arial"/>
        </w:rPr>
        <w:t>n</w:t>
      </w:r>
      <w:r w:rsidR="005D5222">
        <w:rPr>
          <w:rFonts w:ascii="Arial" w:hAnsi="Arial" w:cs="Arial"/>
        </w:rPr>
        <w:t>on-</w:t>
      </w:r>
      <w:r w:rsidR="00767ADD" w:rsidRPr="00767ADD">
        <w:rPr>
          <w:rFonts w:ascii="Arial" w:hAnsi="Arial" w:cs="Arial"/>
        </w:rPr>
        <w:t>NHS trade i</w:t>
      </w:r>
      <w:r w:rsidRPr="00767ADD">
        <w:rPr>
          <w:rFonts w:ascii="Arial" w:hAnsi="Arial" w:cs="Arial"/>
          <w:lang w:eastAsia="en-GB"/>
        </w:rPr>
        <w:t xml:space="preserve">nvoices </w:t>
      </w:r>
      <w:r w:rsidR="00767ADD" w:rsidRPr="00767ADD">
        <w:rPr>
          <w:rFonts w:ascii="Arial" w:hAnsi="Arial" w:cs="Arial"/>
          <w:lang w:eastAsia="en-GB"/>
        </w:rPr>
        <w:t>(</w:t>
      </w:r>
      <w:r w:rsidRPr="00767ADD">
        <w:rPr>
          <w:rFonts w:ascii="Arial" w:hAnsi="Arial" w:cs="Arial"/>
          <w:lang w:eastAsia="en-GB"/>
        </w:rPr>
        <w:t>by both value and volume</w:t>
      </w:r>
      <w:r w:rsidR="00767ADD" w:rsidRPr="00767ADD">
        <w:rPr>
          <w:rFonts w:ascii="Arial" w:hAnsi="Arial" w:cs="Arial"/>
          <w:lang w:eastAsia="en-GB"/>
        </w:rPr>
        <w:t>)</w:t>
      </w:r>
      <w:r w:rsidRPr="00767ADD">
        <w:rPr>
          <w:rFonts w:ascii="Arial" w:hAnsi="Arial" w:cs="Arial"/>
          <w:lang w:eastAsia="en-GB"/>
        </w:rPr>
        <w:t xml:space="preserve"> </w:t>
      </w:r>
      <w:r w:rsidR="00767ADD">
        <w:rPr>
          <w:rFonts w:ascii="Arial" w:hAnsi="Arial" w:cs="Arial"/>
          <w:lang w:eastAsia="en-GB"/>
        </w:rPr>
        <w:t xml:space="preserve">sent to the designated payment address </w:t>
      </w:r>
      <w:r w:rsidRPr="00767ADD">
        <w:rPr>
          <w:rFonts w:ascii="Arial" w:hAnsi="Arial" w:cs="Arial"/>
          <w:lang w:eastAsia="en-GB"/>
        </w:rPr>
        <w:t>are paid within 30 days</w:t>
      </w:r>
      <w:r w:rsidR="00767ADD" w:rsidRPr="00767ADD">
        <w:rPr>
          <w:rFonts w:ascii="Arial" w:hAnsi="Arial" w:cs="Arial"/>
          <w:lang w:eastAsia="en-GB"/>
        </w:rPr>
        <w:t xml:space="preserve"> of receipt, or</w:t>
      </w:r>
      <w:r w:rsidR="00767ADD" w:rsidRPr="00767ADD">
        <w:rPr>
          <w:rFonts w:ascii="Arial" w:hAnsi="Arial" w:cs="Arial"/>
          <w:color w:val="2A2A2A"/>
        </w:rPr>
        <w:t xml:space="preserve"> by the due date, whichever is later</w:t>
      </w:r>
      <w:r w:rsidR="008955B1">
        <w:rPr>
          <w:rFonts w:ascii="Arial" w:hAnsi="Arial" w:cs="Arial"/>
          <w:color w:val="2A2A2A"/>
        </w:rPr>
        <w:t>.</w:t>
      </w:r>
    </w:p>
    <w:p w14:paraId="62C72AF3" w14:textId="77777777" w:rsidR="005752FA" w:rsidRPr="00767ADD" w:rsidRDefault="005752FA" w:rsidP="00767ADD">
      <w:pPr>
        <w:spacing w:after="0"/>
        <w:rPr>
          <w:rFonts w:ascii="Arial" w:hAnsi="Arial" w:cs="Arial"/>
          <w:lang w:eastAsia="en-GB"/>
        </w:rPr>
      </w:pPr>
    </w:p>
    <w:p w14:paraId="0DC79E52" w14:textId="77777777" w:rsidR="005752FA" w:rsidRDefault="008B5202" w:rsidP="00F11068">
      <w:pPr>
        <w:spacing w:after="0"/>
        <w:jc w:val="center"/>
        <w:rPr>
          <w:rFonts w:ascii="Arial" w:hAnsi="Arial" w:cs="Arial"/>
          <w:lang w:eastAsia="en-GB"/>
        </w:rPr>
      </w:pPr>
      <w:r w:rsidRPr="008B5202">
        <w:rPr>
          <w:rFonts w:ascii="Arial" w:hAnsi="Arial" w:cs="Arial"/>
          <w:color w:val="2A2A2A"/>
          <w:sz w:val="19"/>
          <w:szCs w:val="19"/>
        </w:rPr>
        <w:t xml:space="preserve"> </w:t>
      </w:r>
    </w:p>
    <w:p w14:paraId="3E1174CC" w14:textId="77777777" w:rsidR="005752FA" w:rsidRDefault="005752FA" w:rsidP="00F11068">
      <w:pPr>
        <w:spacing w:after="0"/>
        <w:jc w:val="center"/>
        <w:rPr>
          <w:rFonts w:ascii="Arial" w:hAnsi="Arial" w:cs="Arial"/>
          <w:lang w:eastAsia="en-GB"/>
        </w:rPr>
      </w:pPr>
    </w:p>
    <w:p w14:paraId="3EBA9B1D" w14:textId="77777777" w:rsidR="005752FA" w:rsidRDefault="005752FA" w:rsidP="00F11068">
      <w:pPr>
        <w:spacing w:after="0"/>
        <w:jc w:val="center"/>
        <w:rPr>
          <w:rFonts w:ascii="Arial" w:hAnsi="Arial" w:cs="Arial"/>
          <w:lang w:eastAsia="en-GB"/>
        </w:rPr>
      </w:pPr>
    </w:p>
    <w:p w14:paraId="17DD7BAF" w14:textId="77777777" w:rsidR="005752FA" w:rsidRDefault="005752FA" w:rsidP="00F11068">
      <w:pPr>
        <w:spacing w:after="0"/>
        <w:jc w:val="center"/>
        <w:rPr>
          <w:rFonts w:ascii="Arial" w:hAnsi="Arial" w:cs="Arial"/>
          <w:lang w:eastAsia="en-GB"/>
        </w:rPr>
      </w:pPr>
    </w:p>
    <w:p w14:paraId="26DE9B61" w14:textId="77777777" w:rsidR="005B04EB" w:rsidRDefault="005B04EB" w:rsidP="00F11068">
      <w:pPr>
        <w:spacing w:after="0"/>
        <w:jc w:val="center"/>
        <w:rPr>
          <w:rFonts w:ascii="Arial" w:hAnsi="Arial" w:cs="Arial"/>
          <w:lang w:eastAsia="en-GB"/>
        </w:rPr>
      </w:pPr>
    </w:p>
    <w:p w14:paraId="44FB918F" w14:textId="77777777" w:rsidR="00173D3A" w:rsidRDefault="00173D3A" w:rsidP="00F11068">
      <w:pPr>
        <w:spacing w:after="0"/>
        <w:jc w:val="center"/>
        <w:rPr>
          <w:rFonts w:ascii="Arial" w:hAnsi="Arial" w:cs="Arial"/>
          <w:lang w:eastAsia="en-GB"/>
        </w:rPr>
      </w:pPr>
    </w:p>
    <w:p w14:paraId="020BF312" w14:textId="77777777" w:rsidR="00173D3A" w:rsidRDefault="00173D3A" w:rsidP="00F11068">
      <w:pPr>
        <w:spacing w:after="0"/>
        <w:jc w:val="center"/>
        <w:rPr>
          <w:rFonts w:ascii="Arial" w:hAnsi="Arial" w:cs="Arial"/>
          <w:lang w:eastAsia="en-GB"/>
        </w:rPr>
      </w:pPr>
    </w:p>
    <w:p w14:paraId="1F789E08" w14:textId="77777777" w:rsidR="00173D3A" w:rsidRDefault="00173D3A" w:rsidP="00F11068">
      <w:pPr>
        <w:spacing w:after="0"/>
        <w:jc w:val="center"/>
        <w:rPr>
          <w:rFonts w:ascii="Arial" w:hAnsi="Arial" w:cs="Arial"/>
          <w:lang w:eastAsia="en-GB"/>
        </w:rPr>
      </w:pPr>
    </w:p>
    <w:p w14:paraId="71535DFD" w14:textId="77777777" w:rsidR="00173D3A" w:rsidRDefault="00173D3A" w:rsidP="00F11068">
      <w:pPr>
        <w:spacing w:after="0"/>
        <w:jc w:val="center"/>
        <w:rPr>
          <w:rFonts w:ascii="Arial" w:hAnsi="Arial" w:cs="Arial"/>
          <w:lang w:eastAsia="en-GB"/>
        </w:rPr>
      </w:pPr>
    </w:p>
    <w:p w14:paraId="2649B5E3" w14:textId="77777777" w:rsidR="005752FA" w:rsidRDefault="005752FA" w:rsidP="00F11068">
      <w:pPr>
        <w:spacing w:after="0"/>
        <w:jc w:val="center"/>
        <w:rPr>
          <w:rFonts w:ascii="Arial" w:hAnsi="Arial" w:cs="Arial"/>
          <w:lang w:eastAsia="en-GB"/>
        </w:rPr>
      </w:pPr>
    </w:p>
    <w:p w14:paraId="74D38C6B" w14:textId="77777777" w:rsidR="005752FA" w:rsidRDefault="005752FA" w:rsidP="00F11068">
      <w:pPr>
        <w:spacing w:after="0"/>
        <w:jc w:val="center"/>
        <w:rPr>
          <w:rFonts w:ascii="Arial" w:hAnsi="Arial" w:cs="Arial"/>
          <w:lang w:eastAsia="en-GB"/>
        </w:rPr>
      </w:pPr>
    </w:p>
    <w:tbl>
      <w:tblPr>
        <w:tblW w:w="5000" w:type="pct"/>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14979"/>
      </w:tblGrid>
      <w:tr w:rsidR="005752FA" w:rsidRPr="000420F5" w14:paraId="207AFAD2" w14:textId="77777777" w:rsidTr="00715167">
        <w:trPr>
          <w:jc w:val="center"/>
        </w:trPr>
        <w:tc>
          <w:tcPr>
            <w:tcW w:w="5000" w:type="pct"/>
            <w:shd w:val="clear" w:color="auto" w:fill="D9D9D9" w:themeFill="background1" w:themeFillShade="D9"/>
          </w:tcPr>
          <w:p w14:paraId="72BEE598" w14:textId="13F870C6" w:rsidR="005752FA" w:rsidRPr="000420F5" w:rsidRDefault="005752FA" w:rsidP="004C1F1D">
            <w:pPr>
              <w:spacing w:before="120" w:after="120"/>
              <w:jc w:val="center"/>
              <w:rPr>
                <w:rFonts w:ascii="Arial" w:eastAsia="Arial Unicode MS" w:hAnsi="Arial" w:cs="Arial"/>
              </w:rPr>
            </w:pPr>
            <w:r w:rsidRPr="000420F5">
              <w:rPr>
                <w:rFonts w:ascii="Arial" w:hAnsi="Arial" w:cs="Arial"/>
                <w:b/>
                <w:bCs/>
              </w:rPr>
              <w:t>Annex</w:t>
            </w:r>
            <w:r w:rsidR="003F6ED2">
              <w:rPr>
                <w:rFonts w:ascii="Arial" w:hAnsi="Arial" w:cs="Arial"/>
                <w:b/>
                <w:bCs/>
              </w:rPr>
              <w:t xml:space="preserve"> </w:t>
            </w:r>
            <w:r w:rsidR="00A13A60">
              <w:rPr>
                <w:rFonts w:ascii="Arial" w:hAnsi="Arial" w:cs="Arial"/>
                <w:b/>
                <w:bCs/>
              </w:rPr>
              <w:t>M</w:t>
            </w:r>
            <w:r w:rsidRPr="000420F5">
              <w:rPr>
                <w:rFonts w:ascii="Arial" w:hAnsi="Arial" w:cs="Arial"/>
                <w:b/>
                <w:bCs/>
              </w:rPr>
              <w:t xml:space="preserve"> – Capital report</w:t>
            </w:r>
            <w:r w:rsidR="00956E05">
              <w:rPr>
                <w:rFonts w:ascii="Arial" w:hAnsi="Arial" w:cs="Arial"/>
                <w:b/>
                <w:bCs/>
              </w:rPr>
              <w:t xml:space="preserve"> </w:t>
            </w:r>
          </w:p>
        </w:tc>
      </w:tr>
    </w:tbl>
    <w:p w14:paraId="28F514D8" w14:textId="77777777" w:rsidR="005752FA" w:rsidRPr="000420F5" w:rsidRDefault="005752FA" w:rsidP="005752FA">
      <w:pPr>
        <w:spacing w:after="0"/>
        <w:jc w:val="both"/>
        <w:rPr>
          <w:rFonts w:ascii="Arial" w:hAnsi="Arial" w:cs="Arial"/>
        </w:rPr>
      </w:pPr>
    </w:p>
    <w:p w14:paraId="337CE617" w14:textId="11ED9E8D" w:rsidR="005752FA" w:rsidRPr="000420F5" w:rsidRDefault="00E04F3A" w:rsidP="005752FA">
      <w:pPr>
        <w:spacing w:after="0"/>
        <w:jc w:val="center"/>
        <w:rPr>
          <w:rFonts w:ascii="Arial" w:hAnsi="Arial" w:cs="Arial"/>
        </w:rPr>
      </w:pPr>
      <w:r w:rsidRPr="00E04F3A">
        <w:rPr>
          <w:noProof/>
        </w:rPr>
        <w:drawing>
          <wp:inline distT="0" distB="0" distL="0" distR="0" wp14:anchorId="17257692" wp14:editId="5824AC2A">
            <wp:extent cx="9182100" cy="29622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182100" cy="2962275"/>
                    </a:xfrm>
                    <a:prstGeom prst="rect">
                      <a:avLst/>
                    </a:prstGeom>
                    <a:noFill/>
                    <a:ln>
                      <a:noFill/>
                    </a:ln>
                  </pic:spPr>
                </pic:pic>
              </a:graphicData>
            </a:graphic>
          </wp:inline>
        </w:drawing>
      </w:r>
    </w:p>
    <w:p w14:paraId="5993CEE1" w14:textId="38B21602" w:rsidR="005752FA" w:rsidRPr="000420F5" w:rsidRDefault="005752FA" w:rsidP="005752FA">
      <w:pPr>
        <w:spacing w:after="0"/>
        <w:jc w:val="both"/>
        <w:rPr>
          <w:rFonts w:ascii="Arial" w:hAnsi="Arial" w:cs="Arial"/>
        </w:rPr>
      </w:pPr>
    </w:p>
    <w:p w14:paraId="1674755E" w14:textId="5B6666D2" w:rsidR="005752FA" w:rsidRPr="000420F5" w:rsidRDefault="005752FA" w:rsidP="005752FA">
      <w:pPr>
        <w:spacing w:after="0" w:line="240" w:lineRule="auto"/>
        <w:rPr>
          <w:rFonts w:ascii="Arial" w:hAnsi="Arial" w:cs="Arial"/>
        </w:rPr>
      </w:pPr>
    </w:p>
    <w:p w14:paraId="0CC752A5" w14:textId="77777777" w:rsidR="005752FA" w:rsidRDefault="005752FA" w:rsidP="005752FA">
      <w:pPr>
        <w:spacing w:after="0" w:line="240" w:lineRule="auto"/>
        <w:rPr>
          <w:rFonts w:ascii="Arial" w:hAnsi="Arial" w:cs="Arial"/>
        </w:rPr>
      </w:pPr>
    </w:p>
    <w:p w14:paraId="55BA3FF5" w14:textId="77777777" w:rsidR="00715167" w:rsidRDefault="00715167" w:rsidP="005752FA">
      <w:pPr>
        <w:spacing w:after="0" w:line="240" w:lineRule="auto"/>
        <w:rPr>
          <w:rFonts w:ascii="Arial" w:hAnsi="Arial" w:cs="Arial"/>
        </w:rPr>
        <w:sectPr w:rsidR="00715167" w:rsidSect="00C32922">
          <w:footerReference w:type="default" r:id="rId34"/>
          <w:pgSz w:w="15840" w:h="12240" w:orient="landscape"/>
          <w:pgMar w:top="567" w:right="567" w:bottom="284" w:left="284" w:header="709" w:footer="283"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11379"/>
      </w:tblGrid>
      <w:tr w:rsidR="00715167" w:rsidRPr="000420F5" w14:paraId="2B24366C" w14:textId="77777777" w:rsidTr="004C1F1D">
        <w:trPr>
          <w:jc w:val="center"/>
        </w:trPr>
        <w:tc>
          <w:tcPr>
            <w:tcW w:w="5000" w:type="pct"/>
            <w:shd w:val="clear" w:color="auto" w:fill="D9D9D9" w:themeFill="background1" w:themeFillShade="D9"/>
          </w:tcPr>
          <w:p w14:paraId="653486CC" w14:textId="343694D1" w:rsidR="00715167" w:rsidRPr="000420F5" w:rsidRDefault="00715167" w:rsidP="004C1F1D">
            <w:pPr>
              <w:spacing w:before="120" w:after="120"/>
              <w:jc w:val="center"/>
              <w:rPr>
                <w:rFonts w:ascii="Arial" w:eastAsia="Arial Unicode MS" w:hAnsi="Arial" w:cs="Arial"/>
              </w:rPr>
            </w:pPr>
            <w:bookmarkStart w:id="6" w:name="_Hlk516737523"/>
            <w:r w:rsidRPr="000420F5">
              <w:rPr>
                <w:rFonts w:ascii="Arial" w:hAnsi="Arial" w:cs="Arial"/>
                <w:b/>
                <w:bCs/>
              </w:rPr>
              <w:lastRenderedPageBreak/>
              <w:t xml:space="preserve">Annex </w:t>
            </w:r>
            <w:r w:rsidR="00A13A60">
              <w:rPr>
                <w:rFonts w:ascii="Arial" w:hAnsi="Arial" w:cs="Arial"/>
                <w:b/>
                <w:bCs/>
              </w:rPr>
              <w:t>N</w:t>
            </w:r>
            <w:r w:rsidRPr="000420F5">
              <w:rPr>
                <w:rFonts w:ascii="Arial" w:hAnsi="Arial" w:cs="Arial"/>
                <w:b/>
                <w:bCs/>
              </w:rPr>
              <w:t xml:space="preserve"> – </w:t>
            </w:r>
            <w:r>
              <w:rPr>
                <w:rFonts w:ascii="Arial" w:hAnsi="Arial" w:cs="Arial"/>
                <w:b/>
                <w:bCs/>
              </w:rPr>
              <w:t>Finance Risk Register</w:t>
            </w:r>
          </w:p>
        </w:tc>
      </w:tr>
      <w:bookmarkEnd w:id="6"/>
    </w:tbl>
    <w:p w14:paraId="27489FCF" w14:textId="78091BB4" w:rsidR="005752FA" w:rsidRPr="000420F5" w:rsidRDefault="005752FA" w:rsidP="005752FA">
      <w:pPr>
        <w:spacing w:after="0" w:line="240" w:lineRule="auto"/>
        <w:rPr>
          <w:rFonts w:ascii="Arial" w:hAnsi="Arial" w:cs="Arial"/>
        </w:rPr>
      </w:pPr>
    </w:p>
    <w:p w14:paraId="2204396D" w14:textId="5EC98282" w:rsidR="00715167" w:rsidRDefault="006A47B4" w:rsidP="008D69CB">
      <w:pPr>
        <w:spacing w:after="0" w:line="240" w:lineRule="auto"/>
        <w:jc w:val="center"/>
        <w:rPr>
          <w:rFonts w:ascii="Arial" w:hAnsi="Arial" w:cs="Arial"/>
        </w:rPr>
      </w:pPr>
      <w:r w:rsidRPr="006A47B4">
        <w:rPr>
          <w:noProof/>
        </w:rPr>
        <w:drawing>
          <wp:inline distT="0" distB="0" distL="0" distR="0" wp14:anchorId="558C99ED" wp14:editId="2EB65B1A">
            <wp:extent cx="6934200" cy="82391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934200" cy="8239125"/>
                    </a:xfrm>
                    <a:prstGeom prst="rect">
                      <a:avLst/>
                    </a:prstGeom>
                    <a:noFill/>
                    <a:ln>
                      <a:noFill/>
                    </a:ln>
                  </pic:spPr>
                </pic:pic>
              </a:graphicData>
            </a:graphic>
          </wp:inline>
        </w:drawing>
      </w:r>
    </w:p>
    <w:sectPr w:rsidR="00715167" w:rsidSect="00C32922">
      <w:pgSz w:w="12240" w:h="15840"/>
      <w:pgMar w:top="567" w:right="567" w:bottom="284" w:left="28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32121" w14:textId="77777777" w:rsidR="006B7307" w:rsidRDefault="006B7307">
      <w:pPr>
        <w:spacing w:after="0" w:line="240" w:lineRule="auto"/>
      </w:pPr>
      <w:r>
        <w:separator/>
      </w:r>
    </w:p>
  </w:endnote>
  <w:endnote w:type="continuationSeparator" w:id="0">
    <w:p w14:paraId="46CEA53A" w14:textId="77777777" w:rsidR="006B7307" w:rsidRDefault="006B7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9A80B" w14:textId="01BC56B0" w:rsidR="006B7307" w:rsidRDefault="006B7307">
    <w:pPr>
      <w:pStyle w:val="Footer"/>
      <w:jc w:val="right"/>
    </w:pPr>
    <w:r>
      <w:fldChar w:fldCharType="begin"/>
    </w:r>
    <w:r>
      <w:instrText xml:space="preserve"> PAGE   \* MERGEFORMAT </w:instrText>
    </w:r>
    <w:r>
      <w:fldChar w:fldCharType="separate"/>
    </w:r>
    <w:r w:rsidR="00A544AA">
      <w:rPr>
        <w:noProof/>
      </w:rPr>
      <w:t>25</w:t>
    </w:r>
    <w:r>
      <w:fldChar w:fldCharType="end"/>
    </w:r>
  </w:p>
  <w:p w14:paraId="4800BB16" w14:textId="77777777" w:rsidR="006B7307" w:rsidRDefault="006B7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BD9A2" w14:textId="77777777" w:rsidR="006B7307" w:rsidRDefault="006B7307">
      <w:pPr>
        <w:spacing w:after="0" w:line="240" w:lineRule="auto"/>
      </w:pPr>
      <w:r>
        <w:separator/>
      </w:r>
    </w:p>
  </w:footnote>
  <w:footnote w:type="continuationSeparator" w:id="0">
    <w:p w14:paraId="063DF9AE" w14:textId="77777777" w:rsidR="006B7307" w:rsidRDefault="006B73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72557"/>
    <w:multiLevelType w:val="hybridMultilevel"/>
    <w:tmpl w:val="6396E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6119A"/>
    <w:multiLevelType w:val="hybridMultilevel"/>
    <w:tmpl w:val="2A707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BC6FAA"/>
    <w:multiLevelType w:val="hybridMultilevel"/>
    <w:tmpl w:val="5D609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73891"/>
    <w:multiLevelType w:val="hybridMultilevel"/>
    <w:tmpl w:val="B27CC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D5A7A"/>
    <w:multiLevelType w:val="hybridMultilevel"/>
    <w:tmpl w:val="897A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4493D"/>
    <w:multiLevelType w:val="hybridMultilevel"/>
    <w:tmpl w:val="D6D2F5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9E6AD2"/>
    <w:multiLevelType w:val="hybridMultilevel"/>
    <w:tmpl w:val="74520D5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1BE83C82"/>
    <w:multiLevelType w:val="hybridMultilevel"/>
    <w:tmpl w:val="2E249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087AA6"/>
    <w:multiLevelType w:val="hybridMultilevel"/>
    <w:tmpl w:val="0CDCC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EA14183"/>
    <w:multiLevelType w:val="multilevel"/>
    <w:tmpl w:val="9370C43E"/>
    <w:lvl w:ilvl="0">
      <w:start w:val="1"/>
      <w:numFmt w:val="decimal"/>
      <w:lvlText w:val="%1"/>
      <w:lvlJc w:val="left"/>
      <w:pPr>
        <w:ind w:left="1440" w:hanging="720"/>
      </w:pPr>
      <w:rPr>
        <w:rFonts w:hint="default"/>
      </w:rPr>
    </w:lvl>
    <w:lvl w:ilvl="1">
      <w:start w:val="1"/>
      <w:numFmt w:val="decimal"/>
      <w:isLgl/>
      <w:lvlText w:val="%1.%2"/>
      <w:lvlJc w:val="left"/>
      <w:pPr>
        <w:ind w:left="1465" w:hanging="396"/>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0" w15:restartNumberingAfterBreak="0">
    <w:nsid w:val="290D06A9"/>
    <w:multiLevelType w:val="multilevel"/>
    <w:tmpl w:val="9370C43E"/>
    <w:lvl w:ilvl="0">
      <w:start w:val="1"/>
      <w:numFmt w:val="decimal"/>
      <w:lvlText w:val="%1"/>
      <w:lvlJc w:val="left"/>
      <w:pPr>
        <w:ind w:left="1080" w:hanging="720"/>
      </w:pPr>
      <w:rPr>
        <w:rFonts w:hint="default"/>
      </w:rPr>
    </w:lvl>
    <w:lvl w:ilvl="1">
      <w:start w:val="1"/>
      <w:numFmt w:val="decimal"/>
      <w:isLgl/>
      <w:lvlText w:val="%1.%2"/>
      <w:lvlJc w:val="left"/>
      <w:pPr>
        <w:ind w:left="1105" w:hanging="396"/>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29403D19"/>
    <w:multiLevelType w:val="hybridMultilevel"/>
    <w:tmpl w:val="7608A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054C6F"/>
    <w:multiLevelType w:val="hybridMultilevel"/>
    <w:tmpl w:val="F0B4B1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45E10CEA"/>
    <w:multiLevelType w:val="hybridMultilevel"/>
    <w:tmpl w:val="607E16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695450"/>
    <w:multiLevelType w:val="hybridMultilevel"/>
    <w:tmpl w:val="976CB390"/>
    <w:lvl w:ilvl="0" w:tplc="6646F7D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AB4507"/>
    <w:multiLevelType w:val="hybridMultilevel"/>
    <w:tmpl w:val="3A6EFA1A"/>
    <w:lvl w:ilvl="0" w:tplc="ECDEAC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EB11F6"/>
    <w:multiLevelType w:val="hybridMultilevel"/>
    <w:tmpl w:val="58729F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527D468A"/>
    <w:multiLevelType w:val="multilevel"/>
    <w:tmpl w:val="9370C43E"/>
    <w:lvl w:ilvl="0">
      <w:start w:val="1"/>
      <w:numFmt w:val="decimal"/>
      <w:lvlText w:val="%1"/>
      <w:lvlJc w:val="left"/>
      <w:pPr>
        <w:ind w:left="1080" w:hanging="720"/>
      </w:pPr>
      <w:rPr>
        <w:rFonts w:hint="default"/>
      </w:rPr>
    </w:lvl>
    <w:lvl w:ilvl="1">
      <w:start w:val="1"/>
      <w:numFmt w:val="decimal"/>
      <w:isLgl/>
      <w:lvlText w:val="%1.%2"/>
      <w:lvlJc w:val="left"/>
      <w:pPr>
        <w:ind w:left="1105" w:hanging="396"/>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54726678"/>
    <w:multiLevelType w:val="hybridMultilevel"/>
    <w:tmpl w:val="CFBE4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5B2E18"/>
    <w:multiLevelType w:val="hybridMultilevel"/>
    <w:tmpl w:val="45BC92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70774ED"/>
    <w:multiLevelType w:val="hybridMultilevel"/>
    <w:tmpl w:val="5B2CF9D4"/>
    <w:lvl w:ilvl="0" w:tplc="09F687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3D5A03"/>
    <w:multiLevelType w:val="hybridMultilevel"/>
    <w:tmpl w:val="CD469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4E7E53"/>
    <w:multiLevelType w:val="hybridMultilevel"/>
    <w:tmpl w:val="872627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F3B08DA"/>
    <w:multiLevelType w:val="hybridMultilevel"/>
    <w:tmpl w:val="5B2CF9D4"/>
    <w:lvl w:ilvl="0" w:tplc="09F687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3F11DE"/>
    <w:multiLevelType w:val="hybridMultilevel"/>
    <w:tmpl w:val="DCEA9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535F6A"/>
    <w:multiLevelType w:val="hybridMultilevel"/>
    <w:tmpl w:val="D5049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0005B8"/>
    <w:multiLevelType w:val="hybridMultilevel"/>
    <w:tmpl w:val="5B2CF9D4"/>
    <w:lvl w:ilvl="0" w:tplc="09F687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134910"/>
    <w:multiLevelType w:val="multilevel"/>
    <w:tmpl w:val="9370C43E"/>
    <w:lvl w:ilvl="0">
      <w:start w:val="1"/>
      <w:numFmt w:val="decimal"/>
      <w:lvlText w:val="%1"/>
      <w:lvlJc w:val="left"/>
      <w:pPr>
        <w:ind w:left="1080" w:hanging="720"/>
      </w:pPr>
      <w:rPr>
        <w:rFonts w:hint="default"/>
      </w:rPr>
    </w:lvl>
    <w:lvl w:ilvl="1">
      <w:start w:val="1"/>
      <w:numFmt w:val="decimal"/>
      <w:isLgl/>
      <w:lvlText w:val="%1.%2"/>
      <w:lvlJc w:val="left"/>
      <w:pPr>
        <w:ind w:left="1105" w:hanging="396"/>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7FD908A3"/>
    <w:multiLevelType w:val="hybridMultilevel"/>
    <w:tmpl w:val="0356348C"/>
    <w:lvl w:ilvl="0" w:tplc="2534956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4"/>
  </w:num>
  <w:num w:numId="4">
    <w:abstractNumId w:val="5"/>
  </w:num>
  <w:num w:numId="5">
    <w:abstractNumId w:val="7"/>
  </w:num>
  <w:num w:numId="6">
    <w:abstractNumId w:val="11"/>
  </w:num>
  <w:num w:numId="7">
    <w:abstractNumId w:val="1"/>
  </w:num>
  <w:num w:numId="8">
    <w:abstractNumId w:val="28"/>
  </w:num>
  <w:num w:numId="9">
    <w:abstractNumId w:val="24"/>
  </w:num>
  <w:num w:numId="10">
    <w:abstractNumId w:val="6"/>
  </w:num>
  <w:num w:numId="11">
    <w:abstractNumId w:val="14"/>
  </w:num>
  <w:num w:numId="12">
    <w:abstractNumId w:val="22"/>
  </w:num>
  <w:num w:numId="13">
    <w:abstractNumId w:val="19"/>
  </w:num>
  <w:num w:numId="14">
    <w:abstractNumId w:val="8"/>
  </w:num>
  <w:num w:numId="15">
    <w:abstractNumId w:val="19"/>
  </w:num>
  <w:num w:numId="16">
    <w:abstractNumId w:val="15"/>
  </w:num>
  <w:num w:numId="17">
    <w:abstractNumId w:val="17"/>
  </w:num>
  <w:num w:numId="18">
    <w:abstractNumId w:val="23"/>
  </w:num>
  <w:num w:numId="19">
    <w:abstractNumId w:val="20"/>
  </w:num>
  <w:num w:numId="20">
    <w:abstractNumId w:val="26"/>
  </w:num>
  <w:num w:numId="21">
    <w:abstractNumId w:val="18"/>
  </w:num>
  <w:num w:numId="22">
    <w:abstractNumId w:val="27"/>
  </w:num>
  <w:num w:numId="23">
    <w:abstractNumId w:val="9"/>
  </w:num>
  <w:num w:numId="24">
    <w:abstractNumId w:val="10"/>
  </w:num>
  <w:num w:numId="25">
    <w:abstractNumId w:val="2"/>
  </w:num>
  <w:num w:numId="26">
    <w:abstractNumId w:val="0"/>
  </w:num>
  <w:num w:numId="27">
    <w:abstractNumId w:val="3"/>
  </w:num>
  <w:num w:numId="28">
    <w:abstractNumId w:val="12"/>
  </w:num>
  <w:num w:numId="29">
    <w:abstractNumId w:val="13"/>
  </w:num>
  <w:num w:numId="3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79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019"/>
    <w:rsid w:val="000004B9"/>
    <w:rsid w:val="00001570"/>
    <w:rsid w:val="00001A4F"/>
    <w:rsid w:val="00002127"/>
    <w:rsid w:val="00002AC6"/>
    <w:rsid w:val="0000357D"/>
    <w:rsid w:val="00003E67"/>
    <w:rsid w:val="00003FC7"/>
    <w:rsid w:val="00006E0C"/>
    <w:rsid w:val="00006E6F"/>
    <w:rsid w:val="000073D6"/>
    <w:rsid w:val="00010650"/>
    <w:rsid w:val="00011598"/>
    <w:rsid w:val="00011B61"/>
    <w:rsid w:val="00012A1C"/>
    <w:rsid w:val="0001356E"/>
    <w:rsid w:val="00013A53"/>
    <w:rsid w:val="00013B65"/>
    <w:rsid w:val="00013D0A"/>
    <w:rsid w:val="000148D4"/>
    <w:rsid w:val="000148E3"/>
    <w:rsid w:val="00014FAB"/>
    <w:rsid w:val="0001502F"/>
    <w:rsid w:val="0001552E"/>
    <w:rsid w:val="00015913"/>
    <w:rsid w:val="000159D8"/>
    <w:rsid w:val="00015AC0"/>
    <w:rsid w:val="0001786C"/>
    <w:rsid w:val="00017CA1"/>
    <w:rsid w:val="00020061"/>
    <w:rsid w:val="00020664"/>
    <w:rsid w:val="000206C8"/>
    <w:rsid w:val="00020A44"/>
    <w:rsid w:val="00022708"/>
    <w:rsid w:val="00023A9B"/>
    <w:rsid w:val="00024EE2"/>
    <w:rsid w:val="00024F4C"/>
    <w:rsid w:val="0002518F"/>
    <w:rsid w:val="00026DF6"/>
    <w:rsid w:val="00027156"/>
    <w:rsid w:val="00027C8A"/>
    <w:rsid w:val="0003115A"/>
    <w:rsid w:val="000313CD"/>
    <w:rsid w:val="00032249"/>
    <w:rsid w:val="00032266"/>
    <w:rsid w:val="00032A5E"/>
    <w:rsid w:val="00032F4C"/>
    <w:rsid w:val="00033BCF"/>
    <w:rsid w:val="0003465A"/>
    <w:rsid w:val="00034920"/>
    <w:rsid w:val="00034967"/>
    <w:rsid w:val="00034AE3"/>
    <w:rsid w:val="0003754F"/>
    <w:rsid w:val="00037F97"/>
    <w:rsid w:val="00037FA1"/>
    <w:rsid w:val="00040431"/>
    <w:rsid w:val="00040EA1"/>
    <w:rsid w:val="000420F5"/>
    <w:rsid w:val="00042B34"/>
    <w:rsid w:val="0004353C"/>
    <w:rsid w:val="000436F1"/>
    <w:rsid w:val="00043C64"/>
    <w:rsid w:val="00043EEC"/>
    <w:rsid w:val="00045300"/>
    <w:rsid w:val="00045910"/>
    <w:rsid w:val="000465C2"/>
    <w:rsid w:val="000501A3"/>
    <w:rsid w:val="000505C0"/>
    <w:rsid w:val="0005136A"/>
    <w:rsid w:val="0005317D"/>
    <w:rsid w:val="00053EB7"/>
    <w:rsid w:val="00054402"/>
    <w:rsid w:val="00054E38"/>
    <w:rsid w:val="000552B8"/>
    <w:rsid w:val="000566A9"/>
    <w:rsid w:val="000571DD"/>
    <w:rsid w:val="00057494"/>
    <w:rsid w:val="00057A29"/>
    <w:rsid w:val="00057CF0"/>
    <w:rsid w:val="000611CE"/>
    <w:rsid w:val="00061556"/>
    <w:rsid w:val="00061621"/>
    <w:rsid w:val="00061D32"/>
    <w:rsid w:val="00062821"/>
    <w:rsid w:val="0006370D"/>
    <w:rsid w:val="00064205"/>
    <w:rsid w:val="000644D6"/>
    <w:rsid w:val="00064D7C"/>
    <w:rsid w:val="0006700B"/>
    <w:rsid w:val="00067389"/>
    <w:rsid w:val="000674E1"/>
    <w:rsid w:val="00067D8B"/>
    <w:rsid w:val="00067F3E"/>
    <w:rsid w:val="000708D2"/>
    <w:rsid w:val="0007159F"/>
    <w:rsid w:val="000718A8"/>
    <w:rsid w:val="00071CBA"/>
    <w:rsid w:val="00071F3A"/>
    <w:rsid w:val="00072E27"/>
    <w:rsid w:val="00073265"/>
    <w:rsid w:val="00073808"/>
    <w:rsid w:val="000739A4"/>
    <w:rsid w:val="000739C6"/>
    <w:rsid w:val="00073CC2"/>
    <w:rsid w:val="00073D36"/>
    <w:rsid w:val="00076126"/>
    <w:rsid w:val="00077107"/>
    <w:rsid w:val="00077207"/>
    <w:rsid w:val="00077214"/>
    <w:rsid w:val="00077684"/>
    <w:rsid w:val="00077A00"/>
    <w:rsid w:val="00077FA6"/>
    <w:rsid w:val="00077FD6"/>
    <w:rsid w:val="00080AD7"/>
    <w:rsid w:val="0008183F"/>
    <w:rsid w:val="000819CD"/>
    <w:rsid w:val="00081F4A"/>
    <w:rsid w:val="0008255D"/>
    <w:rsid w:val="00082578"/>
    <w:rsid w:val="0008292C"/>
    <w:rsid w:val="00083C6B"/>
    <w:rsid w:val="00083CB9"/>
    <w:rsid w:val="00084C60"/>
    <w:rsid w:val="00084F71"/>
    <w:rsid w:val="0008602E"/>
    <w:rsid w:val="00086166"/>
    <w:rsid w:val="00086817"/>
    <w:rsid w:val="00086B94"/>
    <w:rsid w:val="00086BE8"/>
    <w:rsid w:val="00086D2D"/>
    <w:rsid w:val="00087061"/>
    <w:rsid w:val="00087F82"/>
    <w:rsid w:val="000919AA"/>
    <w:rsid w:val="00091C94"/>
    <w:rsid w:val="00092722"/>
    <w:rsid w:val="00092EA2"/>
    <w:rsid w:val="000932D0"/>
    <w:rsid w:val="000933E0"/>
    <w:rsid w:val="00093AF1"/>
    <w:rsid w:val="00094058"/>
    <w:rsid w:val="00094684"/>
    <w:rsid w:val="00094932"/>
    <w:rsid w:val="00094D91"/>
    <w:rsid w:val="00095923"/>
    <w:rsid w:val="00095B20"/>
    <w:rsid w:val="00095BF9"/>
    <w:rsid w:val="00095FD7"/>
    <w:rsid w:val="00095FDB"/>
    <w:rsid w:val="00097406"/>
    <w:rsid w:val="00097997"/>
    <w:rsid w:val="000A0047"/>
    <w:rsid w:val="000A085A"/>
    <w:rsid w:val="000A15BA"/>
    <w:rsid w:val="000A16DA"/>
    <w:rsid w:val="000A2BCA"/>
    <w:rsid w:val="000A2EA4"/>
    <w:rsid w:val="000A58FD"/>
    <w:rsid w:val="000A5A86"/>
    <w:rsid w:val="000A5DD7"/>
    <w:rsid w:val="000A6004"/>
    <w:rsid w:val="000A6335"/>
    <w:rsid w:val="000A65C0"/>
    <w:rsid w:val="000A6828"/>
    <w:rsid w:val="000A6FB0"/>
    <w:rsid w:val="000A793B"/>
    <w:rsid w:val="000A7A8C"/>
    <w:rsid w:val="000B22CA"/>
    <w:rsid w:val="000B23F2"/>
    <w:rsid w:val="000B2DD8"/>
    <w:rsid w:val="000B2E2D"/>
    <w:rsid w:val="000B31A3"/>
    <w:rsid w:val="000B370D"/>
    <w:rsid w:val="000B39F2"/>
    <w:rsid w:val="000B3A4B"/>
    <w:rsid w:val="000B3ABF"/>
    <w:rsid w:val="000B407C"/>
    <w:rsid w:val="000B44D9"/>
    <w:rsid w:val="000B4986"/>
    <w:rsid w:val="000B6A22"/>
    <w:rsid w:val="000B7D21"/>
    <w:rsid w:val="000C030B"/>
    <w:rsid w:val="000C0DA1"/>
    <w:rsid w:val="000C1034"/>
    <w:rsid w:val="000C1770"/>
    <w:rsid w:val="000C202A"/>
    <w:rsid w:val="000C2067"/>
    <w:rsid w:val="000C26DB"/>
    <w:rsid w:val="000C37A8"/>
    <w:rsid w:val="000C600D"/>
    <w:rsid w:val="000C6C3D"/>
    <w:rsid w:val="000C70DE"/>
    <w:rsid w:val="000C71EF"/>
    <w:rsid w:val="000C7850"/>
    <w:rsid w:val="000D0AF3"/>
    <w:rsid w:val="000D0C77"/>
    <w:rsid w:val="000D1EB9"/>
    <w:rsid w:val="000D2EF8"/>
    <w:rsid w:val="000D3FA2"/>
    <w:rsid w:val="000D5012"/>
    <w:rsid w:val="000E19BC"/>
    <w:rsid w:val="000E2121"/>
    <w:rsid w:val="000E262F"/>
    <w:rsid w:val="000E2781"/>
    <w:rsid w:val="000E2B3A"/>
    <w:rsid w:val="000E2B81"/>
    <w:rsid w:val="000E2E38"/>
    <w:rsid w:val="000E2E6B"/>
    <w:rsid w:val="000E40DD"/>
    <w:rsid w:val="000E420A"/>
    <w:rsid w:val="000E4688"/>
    <w:rsid w:val="000E547F"/>
    <w:rsid w:val="000E68C3"/>
    <w:rsid w:val="000E7D5E"/>
    <w:rsid w:val="000F113B"/>
    <w:rsid w:val="000F1628"/>
    <w:rsid w:val="000F3612"/>
    <w:rsid w:val="000F394A"/>
    <w:rsid w:val="000F3E0A"/>
    <w:rsid w:val="000F46DE"/>
    <w:rsid w:val="000F5025"/>
    <w:rsid w:val="000F71A5"/>
    <w:rsid w:val="000F7D9D"/>
    <w:rsid w:val="001004D1"/>
    <w:rsid w:val="00101AC0"/>
    <w:rsid w:val="00101BFF"/>
    <w:rsid w:val="00101CE1"/>
    <w:rsid w:val="001024A1"/>
    <w:rsid w:val="00102505"/>
    <w:rsid w:val="001032CA"/>
    <w:rsid w:val="00103864"/>
    <w:rsid w:val="00103B72"/>
    <w:rsid w:val="00104802"/>
    <w:rsid w:val="0010524F"/>
    <w:rsid w:val="001059FB"/>
    <w:rsid w:val="0010664C"/>
    <w:rsid w:val="00106BE2"/>
    <w:rsid w:val="001078C6"/>
    <w:rsid w:val="00107E57"/>
    <w:rsid w:val="0011015C"/>
    <w:rsid w:val="0011020A"/>
    <w:rsid w:val="001105FB"/>
    <w:rsid w:val="001110B3"/>
    <w:rsid w:val="001112D7"/>
    <w:rsid w:val="001116F7"/>
    <w:rsid w:val="0011190D"/>
    <w:rsid w:val="00111B51"/>
    <w:rsid w:val="00111B87"/>
    <w:rsid w:val="00112D27"/>
    <w:rsid w:val="001130BD"/>
    <w:rsid w:val="00113234"/>
    <w:rsid w:val="001132BC"/>
    <w:rsid w:val="00114B86"/>
    <w:rsid w:val="00114CBE"/>
    <w:rsid w:val="00115077"/>
    <w:rsid w:val="00115CEF"/>
    <w:rsid w:val="001161B8"/>
    <w:rsid w:val="0011674C"/>
    <w:rsid w:val="00116CCB"/>
    <w:rsid w:val="0012016C"/>
    <w:rsid w:val="00120416"/>
    <w:rsid w:val="00122531"/>
    <w:rsid w:val="0012275C"/>
    <w:rsid w:val="00123753"/>
    <w:rsid w:val="0012471B"/>
    <w:rsid w:val="001248BA"/>
    <w:rsid w:val="0012559B"/>
    <w:rsid w:val="00125622"/>
    <w:rsid w:val="00125CC4"/>
    <w:rsid w:val="00126698"/>
    <w:rsid w:val="00127C2F"/>
    <w:rsid w:val="00130B0B"/>
    <w:rsid w:val="00130F33"/>
    <w:rsid w:val="001313C2"/>
    <w:rsid w:val="00131A1D"/>
    <w:rsid w:val="00131CBA"/>
    <w:rsid w:val="00131FA3"/>
    <w:rsid w:val="0013234E"/>
    <w:rsid w:val="001325A7"/>
    <w:rsid w:val="00132CC2"/>
    <w:rsid w:val="00132FA6"/>
    <w:rsid w:val="00133BD2"/>
    <w:rsid w:val="0013442F"/>
    <w:rsid w:val="00134CAD"/>
    <w:rsid w:val="0013600C"/>
    <w:rsid w:val="001374E3"/>
    <w:rsid w:val="00137EC6"/>
    <w:rsid w:val="00140219"/>
    <w:rsid w:val="00140A6B"/>
    <w:rsid w:val="00140C67"/>
    <w:rsid w:val="00140C88"/>
    <w:rsid w:val="00141795"/>
    <w:rsid w:val="00141AB0"/>
    <w:rsid w:val="00142199"/>
    <w:rsid w:val="00142CEF"/>
    <w:rsid w:val="00142DD1"/>
    <w:rsid w:val="001431FC"/>
    <w:rsid w:val="00143B68"/>
    <w:rsid w:val="00143DFC"/>
    <w:rsid w:val="00144FB6"/>
    <w:rsid w:val="00145318"/>
    <w:rsid w:val="001458CF"/>
    <w:rsid w:val="0014604F"/>
    <w:rsid w:val="0014699E"/>
    <w:rsid w:val="00146E58"/>
    <w:rsid w:val="00147639"/>
    <w:rsid w:val="0015023B"/>
    <w:rsid w:val="00151069"/>
    <w:rsid w:val="001523CE"/>
    <w:rsid w:val="001531C2"/>
    <w:rsid w:val="0015374D"/>
    <w:rsid w:val="00154156"/>
    <w:rsid w:val="0015427E"/>
    <w:rsid w:val="00155224"/>
    <w:rsid w:val="001556D1"/>
    <w:rsid w:val="001564AC"/>
    <w:rsid w:val="001565FF"/>
    <w:rsid w:val="001566AA"/>
    <w:rsid w:val="001568E0"/>
    <w:rsid w:val="00157886"/>
    <w:rsid w:val="00157E88"/>
    <w:rsid w:val="00157F02"/>
    <w:rsid w:val="0016037D"/>
    <w:rsid w:val="00160796"/>
    <w:rsid w:val="00160CDE"/>
    <w:rsid w:val="00161672"/>
    <w:rsid w:val="00161E7C"/>
    <w:rsid w:val="00162781"/>
    <w:rsid w:val="001635E7"/>
    <w:rsid w:val="0016425B"/>
    <w:rsid w:val="00164848"/>
    <w:rsid w:val="00164892"/>
    <w:rsid w:val="00164CAC"/>
    <w:rsid w:val="00165360"/>
    <w:rsid w:val="001659CD"/>
    <w:rsid w:val="001662DF"/>
    <w:rsid w:val="00166635"/>
    <w:rsid w:val="00167BFF"/>
    <w:rsid w:val="00167C13"/>
    <w:rsid w:val="00167D51"/>
    <w:rsid w:val="00167EF1"/>
    <w:rsid w:val="00170126"/>
    <w:rsid w:val="001736B5"/>
    <w:rsid w:val="0017385D"/>
    <w:rsid w:val="00173D3A"/>
    <w:rsid w:val="00174B3B"/>
    <w:rsid w:val="0017582D"/>
    <w:rsid w:val="00176069"/>
    <w:rsid w:val="001762D8"/>
    <w:rsid w:val="0017663A"/>
    <w:rsid w:val="00176F6D"/>
    <w:rsid w:val="00177D6F"/>
    <w:rsid w:val="001818E3"/>
    <w:rsid w:val="001832E7"/>
    <w:rsid w:val="00184717"/>
    <w:rsid w:val="001848BD"/>
    <w:rsid w:val="00186617"/>
    <w:rsid w:val="00186ACD"/>
    <w:rsid w:val="00186E71"/>
    <w:rsid w:val="00187D67"/>
    <w:rsid w:val="00187FD1"/>
    <w:rsid w:val="001901A6"/>
    <w:rsid w:val="00190D37"/>
    <w:rsid w:val="00190D8D"/>
    <w:rsid w:val="00190E49"/>
    <w:rsid w:val="001919F9"/>
    <w:rsid w:val="00191C06"/>
    <w:rsid w:val="00192DB5"/>
    <w:rsid w:val="001935C5"/>
    <w:rsid w:val="001938A0"/>
    <w:rsid w:val="00193A4C"/>
    <w:rsid w:val="0019475E"/>
    <w:rsid w:val="0019557F"/>
    <w:rsid w:val="00195777"/>
    <w:rsid w:val="001A05AA"/>
    <w:rsid w:val="001A1476"/>
    <w:rsid w:val="001A1510"/>
    <w:rsid w:val="001A1AF0"/>
    <w:rsid w:val="001A2AD7"/>
    <w:rsid w:val="001A3CF3"/>
    <w:rsid w:val="001A4446"/>
    <w:rsid w:val="001A4CEF"/>
    <w:rsid w:val="001A4E67"/>
    <w:rsid w:val="001A57F0"/>
    <w:rsid w:val="001A5CBF"/>
    <w:rsid w:val="001A5DB5"/>
    <w:rsid w:val="001A6328"/>
    <w:rsid w:val="001A688A"/>
    <w:rsid w:val="001A72B6"/>
    <w:rsid w:val="001A7453"/>
    <w:rsid w:val="001A7B51"/>
    <w:rsid w:val="001B0E2F"/>
    <w:rsid w:val="001B16C2"/>
    <w:rsid w:val="001B3964"/>
    <w:rsid w:val="001B3D42"/>
    <w:rsid w:val="001B3DD3"/>
    <w:rsid w:val="001B4CCE"/>
    <w:rsid w:val="001B5335"/>
    <w:rsid w:val="001B582C"/>
    <w:rsid w:val="001B729B"/>
    <w:rsid w:val="001B7A07"/>
    <w:rsid w:val="001B7C9D"/>
    <w:rsid w:val="001B7F57"/>
    <w:rsid w:val="001C0680"/>
    <w:rsid w:val="001C0953"/>
    <w:rsid w:val="001C1113"/>
    <w:rsid w:val="001C1C27"/>
    <w:rsid w:val="001C2CF4"/>
    <w:rsid w:val="001C2D9E"/>
    <w:rsid w:val="001C3074"/>
    <w:rsid w:val="001C3100"/>
    <w:rsid w:val="001C525C"/>
    <w:rsid w:val="001C5D82"/>
    <w:rsid w:val="001C64C7"/>
    <w:rsid w:val="001C7A64"/>
    <w:rsid w:val="001D0057"/>
    <w:rsid w:val="001D032A"/>
    <w:rsid w:val="001D03E1"/>
    <w:rsid w:val="001D0CB4"/>
    <w:rsid w:val="001D1C54"/>
    <w:rsid w:val="001D1D8B"/>
    <w:rsid w:val="001D282F"/>
    <w:rsid w:val="001D2D85"/>
    <w:rsid w:val="001D3D05"/>
    <w:rsid w:val="001D4810"/>
    <w:rsid w:val="001D505E"/>
    <w:rsid w:val="001D56AE"/>
    <w:rsid w:val="001D5D55"/>
    <w:rsid w:val="001D6F3B"/>
    <w:rsid w:val="001D7175"/>
    <w:rsid w:val="001D71C0"/>
    <w:rsid w:val="001D74CD"/>
    <w:rsid w:val="001D7A26"/>
    <w:rsid w:val="001E0058"/>
    <w:rsid w:val="001E046F"/>
    <w:rsid w:val="001E0819"/>
    <w:rsid w:val="001E2ED1"/>
    <w:rsid w:val="001E3AB8"/>
    <w:rsid w:val="001E3C44"/>
    <w:rsid w:val="001E43E3"/>
    <w:rsid w:val="001E4F0E"/>
    <w:rsid w:val="001E6BDF"/>
    <w:rsid w:val="001F1B3D"/>
    <w:rsid w:val="001F362C"/>
    <w:rsid w:val="001F368E"/>
    <w:rsid w:val="001F3E77"/>
    <w:rsid w:val="001F4562"/>
    <w:rsid w:val="001F64F7"/>
    <w:rsid w:val="001F662D"/>
    <w:rsid w:val="001F7D45"/>
    <w:rsid w:val="0020056F"/>
    <w:rsid w:val="002014A3"/>
    <w:rsid w:val="002014B1"/>
    <w:rsid w:val="002023A0"/>
    <w:rsid w:val="002026D8"/>
    <w:rsid w:val="00202A7D"/>
    <w:rsid w:val="00203063"/>
    <w:rsid w:val="0020436A"/>
    <w:rsid w:val="00204AF9"/>
    <w:rsid w:val="00204B3C"/>
    <w:rsid w:val="00205353"/>
    <w:rsid w:val="002057BF"/>
    <w:rsid w:val="002060FA"/>
    <w:rsid w:val="00206A7A"/>
    <w:rsid w:val="00207926"/>
    <w:rsid w:val="00207935"/>
    <w:rsid w:val="00207A71"/>
    <w:rsid w:val="00207DFF"/>
    <w:rsid w:val="002115EC"/>
    <w:rsid w:val="00211EDA"/>
    <w:rsid w:val="00213B1C"/>
    <w:rsid w:val="00215236"/>
    <w:rsid w:val="00215515"/>
    <w:rsid w:val="00216069"/>
    <w:rsid w:val="00217A79"/>
    <w:rsid w:val="00217B85"/>
    <w:rsid w:val="002203BC"/>
    <w:rsid w:val="00220419"/>
    <w:rsid w:val="002226E8"/>
    <w:rsid w:val="00222AF2"/>
    <w:rsid w:val="00222EF6"/>
    <w:rsid w:val="002231DA"/>
    <w:rsid w:val="002237FC"/>
    <w:rsid w:val="002250D1"/>
    <w:rsid w:val="002252E1"/>
    <w:rsid w:val="00225884"/>
    <w:rsid w:val="00225F05"/>
    <w:rsid w:val="00226B4F"/>
    <w:rsid w:val="00226EB3"/>
    <w:rsid w:val="00227244"/>
    <w:rsid w:val="00230D07"/>
    <w:rsid w:val="00231A85"/>
    <w:rsid w:val="002326D2"/>
    <w:rsid w:val="00232826"/>
    <w:rsid w:val="0023303E"/>
    <w:rsid w:val="00233396"/>
    <w:rsid w:val="00236326"/>
    <w:rsid w:val="00236F1C"/>
    <w:rsid w:val="00237955"/>
    <w:rsid w:val="002402B2"/>
    <w:rsid w:val="0024039D"/>
    <w:rsid w:val="00243306"/>
    <w:rsid w:val="00243881"/>
    <w:rsid w:val="00243918"/>
    <w:rsid w:val="00244D8B"/>
    <w:rsid w:val="0024597C"/>
    <w:rsid w:val="00245D61"/>
    <w:rsid w:val="00250B46"/>
    <w:rsid w:val="00251326"/>
    <w:rsid w:val="00251351"/>
    <w:rsid w:val="00251502"/>
    <w:rsid w:val="00252E77"/>
    <w:rsid w:val="00253D95"/>
    <w:rsid w:val="002540BE"/>
    <w:rsid w:val="00254A83"/>
    <w:rsid w:val="00254F08"/>
    <w:rsid w:val="00255119"/>
    <w:rsid w:val="00255D5E"/>
    <w:rsid w:val="00255DFD"/>
    <w:rsid w:val="00257E81"/>
    <w:rsid w:val="00260533"/>
    <w:rsid w:val="00260E6A"/>
    <w:rsid w:val="00261A87"/>
    <w:rsid w:val="00262365"/>
    <w:rsid w:val="00263ED4"/>
    <w:rsid w:val="00263FF3"/>
    <w:rsid w:val="002646B0"/>
    <w:rsid w:val="00265F85"/>
    <w:rsid w:val="00265FE8"/>
    <w:rsid w:val="00266A46"/>
    <w:rsid w:val="00266A7E"/>
    <w:rsid w:val="00266DD6"/>
    <w:rsid w:val="0027019A"/>
    <w:rsid w:val="002707C1"/>
    <w:rsid w:val="00270B0E"/>
    <w:rsid w:val="00271B58"/>
    <w:rsid w:val="00273D23"/>
    <w:rsid w:val="00274108"/>
    <w:rsid w:val="00274441"/>
    <w:rsid w:val="00274A4A"/>
    <w:rsid w:val="00274E6B"/>
    <w:rsid w:val="00275DF7"/>
    <w:rsid w:val="00275ED9"/>
    <w:rsid w:val="00277FBC"/>
    <w:rsid w:val="002805C7"/>
    <w:rsid w:val="00280C4E"/>
    <w:rsid w:val="00281A13"/>
    <w:rsid w:val="002823A9"/>
    <w:rsid w:val="0028263D"/>
    <w:rsid w:val="00282A36"/>
    <w:rsid w:val="002839DC"/>
    <w:rsid w:val="00283ED4"/>
    <w:rsid w:val="00284161"/>
    <w:rsid w:val="00284CA4"/>
    <w:rsid w:val="002856FC"/>
    <w:rsid w:val="002860CE"/>
    <w:rsid w:val="0028677B"/>
    <w:rsid w:val="002868CC"/>
    <w:rsid w:val="0029130D"/>
    <w:rsid w:val="00293078"/>
    <w:rsid w:val="00293F34"/>
    <w:rsid w:val="00294E7F"/>
    <w:rsid w:val="00295317"/>
    <w:rsid w:val="00295E6D"/>
    <w:rsid w:val="00297EB4"/>
    <w:rsid w:val="002A10A6"/>
    <w:rsid w:val="002A15F3"/>
    <w:rsid w:val="002A2190"/>
    <w:rsid w:val="002A23B8"/>
    <w:rsid w:val="002A27DE"/>
    <w:rsid w:val="002A283D"/>
    <w:rsid w:val="002A34EE"/>
    <w:rsid w:val="002A4072"/>
    <w:rsid w:val="002A413C"/>
    <w:rsid w:val="002A4895"/>
    <w:rsid w:val="002A58B3"/>
    <w:rsid w:val="002A67DE"/>
    <w:rsid w:val="002A71B4"/>
    <w:rsid w:val="002B00C9"/>
    <w:rsid w:val="002B05AA"/>
    <w:rsid w:val="002B0852"/>
    <w:rsid w:val="002B0D27"/>
    <w:rsid w:val="002B28F5"/>
    <w:rsid w:val="002B2B33"/>
    <w:rsid w:val="002B345B"/>
    <w:rsid w:val="002B360D"/>
    <w:rsid w:val="002B37C4"/>
    <w:rsid w:val="002B3AB5"/>
    <w:rsid w:val="002B4D81"/>
    <w:rsid w:val="002B5E08"/>
    <w:rsid w:val="002B6714"/>
    <w:rsid w:val="002B67DA"/>
    <w:rsid w:val="002B7A57"/>
    <w:rsid w:val="002C489A"/>
    <w:rsid w:val="002C48AE"/>
    <w:rsid w:val="002C4BD5"/>
    <w:rsid w:val="002C554A"/>
    <w:rsid w:val="002C58E6"/>
    <w:rsid w:val="002C5A9B"/>
    <w:rsid w:val="002C6394"/>
    <w:rsid w:val="002C6CE4"/>
    <w:rsid w:val="002C7B68"/>
    <w:rsid w:val="002D0653"/>
    <w:rsid w:val="002D0CBA"/>
    <w:rsid w:val="002D210E"/>
    <w:rsid w:val="002D2DA3"/>
    <w:rsid w:val="002D49F4"/>
    <w:rsid w:val="002D50ED"/>
    <w:rsid w:val="002D75EC"/>
    <w:rsid w:val="002D7986"/>
    <w:rsid w:val="002E24F1"/>
    <w:rsid w:val="002E2FA3"/>
    <w:rsid w:val="002E4C0B"/>
    <w:rsid w:val="002E4CD8"/>
    <w:rsid w:val="002E5E74"/>
    <w:rsid w:val="002E6125"/>
    <w:rsid w:val="002E68D7"/>
    <w:rsid w:val="002F0E2B"/>
    <w:rsid w:val="002F1317"/>
    <w:rsid w:val="002F1A1B"/>
    <w:rsid w:val="002F28EF"/>
    <w:rsid w:val="002F2994"/>
    <w:rsid w:val="002F2A2C"/>
    <w:rsid w:val="002F3937"/>
    <w:rsid w:val="002F3BAE"/>
    <w:rsid w:val="002F3C45"/>
    <w:rsid w:val="002F3CA3"/>
    <w:rsid w:val="002F5C7D"/>
    <w:rsid w:val="002F68CE"/>
    <w:rsid w:val="002F69B5"/>
    <w:rsid w:val="002F6FD4"/>
    <w:rsid w:val="002F71BA"/>
    <w:rsid w:val="00300D00"/>
    <w:rsid w:val="0030141C"/>
    <w:rsid w:val="003014C6"/>
    <w:rsid w:val="00301E86"/>
    <w:rsid w:val="00302229"/>
    <w:rsid w:val="00304732"/>
    <w:rsid w:val="00304BDF"/>
    <w:rsid w:val="00304F1B"/>
    <w:rsid w:val="00305B6D"/>
    <w:rsid w:val="00305F75"/>
    <w:rsid w:val="00306FC1"/>
    <w:rsid w:val="00312AA3"/>
    <w:rsid w:val="00313248"/>
    <w:rsid w:val="00315209"/>
    <w:rsid w:val="00315C38"/>
    <w:rsid w:val="00315CBB"/>
    <w:rsid w:val="00316071"/>
    <w:rsid w:val="00316A55"/>
    <w:rsid w:val="0032070A"/>
    <w:rsid w:val="00320C0B"/>
    <w:rsid w:val="00320F11"/>
    <w:rsid w:val="00321202"/>
    <w:rsid w:val="00321D95"/>
    <w:rsid w:val="003227AE"/>
    <w:rsid w:val="003228F0"/>
    <w:rsid w:val="0032337F"/>
    <w:rsid w:val="00324BF1"/>
    <w:rsid w:val="00324C5D"/>
    <w:rsid w:val="00325350"/>
    <w:rsid w:val="003259BE"/>
    <w:rsid w:val="00326391"/>
    <w:rsid w:val="0032684F"/>
    <w:rsid w:val="003272FE"/>
    <w:rsid w:val="00327DB8"/>
    <w:rsid w:val="003312B7"/>
    <w:rsid w:val="003323ED"/>
    <w:rsid w:val="0033247F"/>
    <w:rsid w:val="00333FE1"/>
    <w:rsid w:val="00334213"/>
    <w:rsid w:val="00334DE6"/>
    <w:rsid w:val="00335F48"/>
    <w:rsid w:val="0033697A"/>
    <w:rsid w:val="00336C81"/>
    <w:rsid w:val="00337066"/>
    <w:rsid w:val="003402E8"/>
    <w:rsid w:val="003405F4"/>
    <w:rsid w:val="00340A20"/>
    <w:rsid w:val="00341C46"/>
    <w:rsid w:val="00344BCB"/>
    <w:rsid w:val="00344C51"/>
    <w:rsid w:val="00347F55"/>
    <w:rsid w:val="0035008A"/>
    <w:rsid w:val="00350B11"/>
    <w:rsid w:val="00350E05"/>
    <w:rsid w:val="00352481"/>
    <w:rsid w:val="003537AA"/>
    <w:rsid w:val="00353E50"/>
    <w:rsid w:val="003555C8"/>
    <w:rsid w:val="00355A19"/>
    <w:rsid w:val="00355AD4"/>
    <w:rsid w:val="00355BE6"/>
    <w:rsid w:val="00357E1F"/>
    <w:rsid w:val="00360201"/>
    <w:rsid w:val="00362003"/>
    <w:rsid w:val="0036236C"/>
    <w:rsid w:val="00362CC0"/>
    <w:rsid w:val="003647C7"/>
    <w:rsid w:val="003647F2"/>
    <w:rsid w:val="00364B77"/>
    <w:rsid w:val="0036611B"/>
    <w:rsid w:val="00366131"/>
    <w:rsid w:val="00366488"/>
    <w:rsid w:val="003666A4"/>
    <w:rsid w:val="00366DDB"/>
    <w:rsid w:val="00367448"/>
    <w:rsid w:val="003701AA"/>
    <w:rsid w:val="0037056C"/>
    <w:rsid w:val="003705FC"/>
    <w:rsid w:val="00370B39"/>
    <w:rsid w:val="00370E28"/>
    <w:rsid w:val="00371918"/>
    <w:rsid w:val="00372104"/>
    <w:rsid w:val="003744EF"/>
    <w:rsid w:val="00374681"/>
    <w:rsid w:val="003756AF"/>
    <w:rsid w:val="00376C96"/>
    <w:rsid w:val="00376CB4"/>
    <w:rsid w:val="00376E45"/>
    <w:rsid w:val="003775C7"/>
    <w:rsid w:val="00377ADE"/>
    <w:rsid w:val="00377C51"/>
    <w:rsid w:val="00377CC2"/>
    <w:rsid w:val="00380093"/>
    <w:rsid w:val="003801B1"/>
    <w:rsid w:val="003808E9"/>
    <w:rsid w:val="00381167"/>
    <w:rsid w:val="003825B6"/>
    <w:rsid w:val="00383193"/>
    <w:rsid w:val="00383343"/>
    <w:rsid w:val="003835D3"/>
    <w:rsid w:val="00383631"/>
    <w:rsid w:val="00383A8D"/>
    <w:rsid w:val="00383F98"/>
    <w:rsid w:val="00383FD9"/>
    <w:rsid w:val="003854CB"/>
    <w:rsid w:val="0038603E"/>
    <w:rsid w:val="00386A8E"/>
    <w:rsid w:val="003906B4"/>
    <w:rsid w:val="0039100C"/>
    <w:rsid w:val="00391682"/>
    <w:rsid w:val="00391698"/>
    <w:rsid w:val="00391B31"/>
    <w:rsid w:val="00394296"/>
    <w:rsid w:val="00395B5B"/>
    <w:rsid w:val="003961BF"/>
    <w:rsid w:val="0039696A"/>
    <w:rsid w:val="00397DFF"/>
    <w:rsid w:val="003A0D8E"/>
    <w:rsid w:val="003A1C09"/>
    <w:rsid w:val="003A1FA1"/>
    <w:rsid w:val="003A21C3"/>
    <w:rsid w:val="003A25F3"/>
    <w:rsid w:val="003A3A26"/>
    <w:rsid w:val="003A453E"/>
    <w:rsid w:val="003A45B7"/>
    <w:rsid w:val="003A7237"/>
    <w:rsid w:val="003A746E"/>
    <w:rsid w:val="003A7B4D"/>
    <w:rsid w:val="003A7D06"/>
    <w:rsid w:val="003A7D9C"/>
    <w:rsid w:val="003B01CC"/>
    <w:rsid w:val="003B0F3B"/>
    <w:rsid w:val="003B0FF1"/>
    <w:rsid w:val="003B2B36"/>
    <w:rsid w:val="003B3E2F"/>
    <w:rsid w:val="003B4477"/>
    <w:rsid w:val="003B4CE7"/>
    <w:rsid w:val="003B5C3C"/>
    <w:rsid w:val="003B6038"/>
    <w:rsid w:val="003C0FF8"/>
    <w:rsid w:val="003C1663"/>
    <w:rsid w:val="003C20E5"/>
    <w:rsid w:val="003C2C8A"/>
    <w:rsid w:val="003C4A08"/>
    <w:rsid w:val="003C6483"/>
    <w:rsid w:val="003C6DEB"/>
    <w:rsid w:val="003C6EEC"/>
    <w:rsid w:val="003D21CF"/>
    <w:rsid w:val="003D2925"/>
    <w:rsid w:val="003D3512"/>
    <w:rsid w:val="003D4817"/>
    <w:rsid w:val="003D4A25"/>
    <w:rsid w:val="003D4BD2"/>
    <w:rsid w:val="003D5023"/>
    <w:rsid w:val="003D5B9E"/>
    <w:rsid w:val="003D5D88"/>
    <w:rsid w:val="003D5DE8"/>
    <w:rsid w:val="003D5E54"/>
    <w:rsid w:val="003D6F21"/>
    <w:rsid w:val="003D6F7E"/>
    <w:rsid w:val="003D7304"/>
    <w:rsid w:val="003E023A"/>
    <w:rsid w:val="003E0E81"/>
    <w:rsid w:val="003E1816"/>
    <w:rsid w:val="003E21B4"/>
    <w:rsid w:val="003E2920"/>
    <w:rsid w:val="003E3E91"/>
    <w:rsid w:val="003E49A4"/>
    <w:rsid w:val="003E4D89"/>
    <w:rsid w:val="003E522C"/>
    <w:rsid w:val="003E5F1B"/>
    <w:rsid w:val="003E6389"/>
    <w:rsid w:val="003F127E"/>
    <w:rsid w:val="003F145B"/>
    <w:rsid w:val="003F16CC"/>
    <w:rsid w:val="003F2352"/>
    <w:rsid w:val="003F23B4"/>
    <w:rsid w:val="003F565C"/>
    <w:rsid w:val="003F5E8C"/>
    <w:rsid w:val="003F62EC"/>
    <w:rsid w:val="003F6372"/>
    <w:rsid w:val="003F66A2"/>
    <w:rsid w:val="003F6885"/>
    <w:rsid w:val="003F6ED2"/>
    <w:rsid w:val="003F7E38"/>
    <w:rsid w:val="00400319"/>
    <w:rsid w:val="004004C6"/>
    <w:rsid w:val="00400BA1"/>
    <w:rsid w:val="0040200A"/>
    <w:rsid w:val="0040243B"/>
    <w:rsid w:val="004025E8"/>
    <w:rsid w:val="00402C59"/>
    <w:rsid w:val="004042F6"/>
    <w:rsid w:val="00404BA8"/>
    <w:rsid w:val="00404DC4"/>
    <w:rsid w:val="0040562B"/>
    <w:rsid w:val="00407A46"/>
    <w:rsid w:val="004101D9"/>
    <w:rsid w:val="0041033F"/>
    <w:rsid w:val="00410BB9"/>
    <w:rsid w:val="00410DC7"/>
    <w:rsid w:val="00411449"/>
    <w:rsid w:val="00411E9D"/>
    <w:rsid w:val="00414D4C"/>
    <w:rsid w:val="004159CF"/>
    <w:rsid w:val="00416233"/>
    <w:rsid w:val="0041665A"/>
    <w:rsid w:val="00416AC8"/>
    <w:rsid w:val="00416E02"/>
    <w:rsid w:val="00420396"/>
    <w:rsid w:val="004212B1"/>
    <w:rsid w:val="0042381C"/>
    <w:rsid w:val="00423E1E"/>
    <w:rsid w:val="00424424"/>
    <w:rsid w:val="004245D8"/>
    <w:rsid w:val="004247CA"/>
    <w:rsid w:val="00424883"/>
    <w:rsid w:val="00427545"/>
    <w:rsid w:val="0043120B"/>
    <w:rsid w:val="00431E1C"/>
    <w:rsid w:val="00432A18"/>
    <w:rsid w:val="00432C73"/>
    <w:rsid w:val="004333C7"/>
    <w:rsid w:val="00433D7E"/>
    <w:rsid w:val="00433E51"/>
    <w:rsid w:val="00434FA8"/>
    <w:rsid w:val="00435124"/>
    <w:rsid w:val="004357DA"/>
    <w:rsid w:val="00435C3F"/>
    <w:rsid w:val="00436393"/>
    <w:rsid w:val="00436546"/>
    <w:rsid w:val="00436553"/>
    <w:rsid w:val="0043718E"/>
    <w:rsid w:val="00437AEB"/>
    <w:rsid w:val="004417AB"/>
    <w:rsid w:val="004436E9"/>
    <w:rsid w:val="0044407E"/>
    <w:rsid w:val="004447E0"/>
    <w:rsid w:val="00445DD8"/>
    <w:rsid w:val="00446500"/>
    <w:rsid w:val="00447913"/>
    <w:rsid w:val="00451287"/>
    <w:rsid w:val="00453A6F"/>
    <w:rsid w:val="00454291"/>
    <w:rsid w:val="004548FE"/>
    <w:rsid w:val="00454AB8"/>
    <w:rsid w:val="004557CD"/>
    <w:rsid w:val="0045616E"/>
    <w:rsid w:val="0045624B"/>
    <w:rsid w:val="00456A16"/>
    <w:rsid w:val="00456A2D"/>
    <w:rsid w:val="00457CEC"/>
    <w:rsid w:val="00461337"/>
    <w:rsid w:val="004624D6"/>
    <w:rsid w:val="00462AB0"/>
    <w:rsid w:val="00462EA7"/>
    <w:rsid w:val="0046313D"/>
    <w:rsid w:val="00463E39"/>
    <w:rsid w:val="00464A0A"/>
    <w:rsid w:val="00464F02"/>
    <w:rsid w:val="0046566A"/>
    <w:rsid w:val="004666CF"/>
    <w:rsid w:val="00466FB8"/>
    <w:rsid w:val="0046711B"/>
    <w:rsid w:val="004678BF"/>
    <w:rsid w:val="004678C6"/>
    <w:rsid w:val="004701B5"/>
    <w:rsid w:val="00472175"/>
    <w:rsid w:val="0047276E"/>
    <w:rsid w:val="00472EB4"/>
    <w:rsid w:val="0047430B"/>
    <w:rsid w:val="00474C53"/>
    <w:rsid w:val="00474E53"/>
    <w:rsid w:val="004755B5"/>
    <w:rsid w:val="00475C89"/>
    <w:rsid w:val="00475CE1"/>
    <w:rsid w:val="00475DAF"/>
    <w:rsid w:val="00475E03"/>
    <w:rsid w:val="00476348"/>
    <w:rsid w:val="00476976"/>
    <w:rsid w:val="00477002"/>
    <w:rsid w:val="0047758E"/>
    <w:rsid w:val="00477989"/>
    <w:rsid w:val="00477A90"/>
    <w:rsid w:val="00480373"/>
    <w:rsid w:val="00480D99"/>
    <w:rsid w:val="00481181"/>
    <w:rsid w:val="00481576"/>
    <w:rsid w:val="00482326"/>
    <w:rsid w:val="00483B66"/>
    <w:rsid w:val="00484569"/>
    <w:rsid w:val="00484D33"/>
    <w:rsid w:val="00486215"/>
    <w:rsid w:val="00486BE0"/>
    <w:rsid w:val="00487109"/>
    <w:rsid w:val="00487161"/>
    <w:rsid w:val="00491223"/>
    <w:rsid w:val="00491EEE"/>
    <w:rsid w:val="00492BDB"/>
    <w:rsid w:val="00492C16"/>
    <w:rsid w:val="00493728"/>
    <w:rsid w:val="0049379E"/>
    <w:rsid w:val="00494722"/>
    <w:rsid w:val="004A112A"/>
    <w:rsid w:val="004A17A0"/>
    <w:rsid w:val="004A1BD3"/>
    <w:rsid w:val="004A4479"/>
    <w:rsid w:val="004A4C8E"/>
    <w:rsid w:val="004A5491"/>
    <w:rsid w:val="004A6AE8"/>
    <w:rsid w:val="004A70CB"/>
    <w:rsid w:val="004B020B"/>
    <w:rsid w:val="004B03E4"/>
    <w:rsid w:val="004B042E"/>
    <w:rsid w:val="004B0795"/>
    <w:rsid w:val="004B19C5"/>
    <w:rsid w:val="004B24B3"/>
    <w:rsid w:val="004B2D81"/>
    <w:rsid w:val="004B354E"/>
    <w:rsid w:val="004B3769"/>
    <w:rsid w:val="004B3C3D"/>
    <w:rsid w:val="004B408A"/>
    <w:rsid w:val="004B42BD"/>
    <w:rsid w:val="004B45B0"/>
    <w:rsid w:val="004B5F09"/>
    <w:rsid w:val="004B6C94"/>
    <w:rsid w:val="004B7BFA"/>
    <w:rsid w:val="004B7C71"/>
    <w:rsid w:val="004B7CC2"/>
    <w:rsid w:val="004B7E64"/>
    <w:rsid w:val="004C1552"/>
    <w:rsid w:val="004C1F1D"/>
    <w:rsid w:val="004C2E09"/>
    <w:rsid w:val="004C4A55"/>
    <w:rsid w:val="004C56D6"/>
    <w:rsid w:val="004D057F"/>
    <w:rsid w:val="004D14D3"/>
    <w:rsid w:val="004D2807"/>
    <w:rsid w:val="004D2BC8"/>
    <w:rsid w:val="004D33F2"/>
    <w:rsid w:val="004D42E6"/>
    <w:rsid w:val="004D4809"/>
    <w:rsid w:val="004D4B35"/>
    <w:rsid w:val="004D5522"/>
    <w:rsid w:val="004D6DA6"/>
    <w:rsid w:val="004D7988"/>
    <w:rsid w:val="004E0C22"/>
    <w:rsid w:val="004E1B8C"/>
    <w:rsid w:val="004E1FDE"/>
    <w:rsid w:val="004E226F"/>
    <w:rsid w:val="004E238F"/>
    <w:rsid w:val="004E2DD4"/>
    <w:rsid w:val="004E3103"/>
    <w:rsid w:val="004E5FD9"/>
    <w:rsid w:val="004E6C63"/>
    <w:rsid w:val="004E7F88"/>
    <w:rsid w:val="004F0546"/>
    <w:rsid w:val="004F0D0A"/>
    <w:rsid w:val="004F0DFF"/>
    <w:rsid w:val="004F25A1"/>
    <w:rsid w:val="004F2E63"/>
    <w:rsid w:val="004F3AB2"/>
    <w:rsid w:val="004F400A"/>
    <w:rsid w:val="004F4447"/>
    <w:rsid w:val="004F4D06"/>
    <w:rsid w:val="004F5406"/>
    <w:rsid w:val="004F5BDD"/>
    <w:rsid w:val="004F5C19"/>
    <w:rsid w:val="004F794F"/>
    <w:rsid w:val="00500285"/>
    <w:rsid w:val="00500946"/>
    <w:rsid w:val="00500DA0"/>
    <w:rsid w:val="005025F6"/>
    <w:rsid w:val="00502790"/>
    <w:rsid w:val="005031B5"/>
    <w:rsid w:val="00503252"/>
    <w:rsid w:val="0050333D"/>
    <w:rsid w:val="005036D1"/>
    <w:rsid w:val="0050379F"/>
    <w:rsid w:val="00503C48"/>
    <w:rsid w:val="00503C53"/>
    <w:rsid w:val="005043B9"/>
    <w:rsid w:val="005043FB"/>
    <w:rsid w:val="00504499"/>
    <w:rsid w:val="005045DD"/>
    <w:rsid w:val="0050522F"/>
    <w:rsid w:val="005057BD"/>
    <w:rsid w:val="00505E24"/>
    <w:rsid w:val="005068C1"/>
    <w:rsid w:val="00507744"/>
    <w:rsid w:val="0051093D"/>
    <w:rsid w:val="0051142A"/>
    <w:rsid w:val="00511C0C"/>
    <w:rsid w:val="00512773"/>
    <w:rsid w:val="00512A4D"/>
    <w:rsid w:val="00512F64"/>
    <w:rsid w:val="005132A9"/>
    <w:rsid w:val="0051475E"/>
    <w:rsid w:val="00515D1F"/>
    <w:rsid w:val="0051697E"/>
    <w:rsid w:val="00516A49"/>
    <w:rsid w:val="00517647"/>
    <w:rsid w:val="005206E0"/>
    <w:rsid w:val="00520BB2"/>
    <w:rsid w:val="005211A1"/>
    <w:rsid w:val="005217E7"/>
    <w:rsid w:val="00522331"/>
    <w:rsid w:val="005223B0"/>
    <w:rsid w:val="00522F21"/>
    <w:rsid w:val="0052321F"/>
    <w:rsid w:val="00523F41"/>
    <w:rsid w:val="00524558"/>
    <w:rsid w:val="005256B2"/>
    <w:rsid w:val="00525CCF"/>
    <w:rsid w:val="005261CD"/>
    <w:rsid w:val="00526DB5"/>
    <w:rsid w:val="005276BD"/>
    <w:rsid w:val="00527FC8"/>
    <w:rsid w:val="0053154C"/>
    <w:rsid w:val="00531CE3"/>
    <w:rsid w:val="00532330"/>
    <w:rsid w:val="00532D25"/>
    <w:rsid w:val="005335F8"/>
    <w:rsid w:val="005354E0"/>
    <w:rsid w:val="00535837"/>
    <w:rsid w:val="005358A4"/>
    <w:rsid w:val="00535C03"/>
    <w:rsid w:val="00535D01"/>
    <w:rsid w:val="00535F18"/>
    <w:rsid w:val="00537A7B"/>
    <w:rsid w:val="00540069"/>
    <w:rsid w:val="00540441"/>
    <w:rsid w:val="0054049C"/>
    <w:rsid w:val="005407ED"/>
    <w:rsid w:val="00540AC7"/>
    <w:rsid w:val="00542041"/>
    <w:rsid w:val="00542273"/>
    <w:rsid w:val="0054276E"/>
    <w:rsid w:val="00542B4E"/>
    <w:rsid w:val="00542B66"/>
    <w:rsid w:val="00543287"/>
    <w:rsid w:val="005455D3"/>
    <w:rsid w:val="00545DEE"/>
    <w:rsid w:val="00545ED9"/>
    <w:rsid w:val="00546624"/>
    <w:rsid w:val="00546955"/>
    <w:rsid w:val="00546B13"/>
    <w:rsid w:val="00550169"/>
    <w:rsid w:val="005518D0"/>
    <w:rsid w:val="005519E1"/>
    <w:rsid w:val="00553987"/>
    <w:rsid w:val="00553D06"/>
    <w:rsid w:val="00553D54"/>
    <w:rsid w:val="00555270"/>
    <w:rsid w:val="00556DA3"/>
    <w:rsid w:val="00557780"/>
    <w:rsid w:val="00557DA9"/>
    <w:rsid w:val="005629EE"/>
    <w:rsid w:val="00562DF7"/>
    <w:rsid w:val="00562F0E"/>
    <w:rsid w:val="0056301D"/>
    <w:rsid w:val="00564582"/>
    <w:rsid w:val="005649F3"/>
    <w:rsid w:val="00564B46"/>
    <w:rsid w:val="00565167"/>
    <w:rsid w:val="0056526B"/>
    <w:rsid w:val="00565B1E"/>
    <w:rsid w:val="00566120"/>
    <w:rsid w:val="0057155D"/>
    <w:rsid w:val="00572662"/>
    <w:rsid w:val="0057286E"/>
    <w:rsid w:val="0057357D"/>
    <w:rsid w:val="00573BE0"/>
    <w:rsid w:val="005752FA"/>
    <w:rsid w:val="00575883"/>
    <w:rsid w:val="005813A3"/>
    <w:rsid w:val="005831AB"/>
    <w:rsid w:val="005831D6"/>
    <w:rsid w:val="005838AA"/>
    <w:rsid w:val="00583B2E"/>
    <w:rsid w:val="00583D3B"/>
    <w:rsid w:val="0058564D"/>
    <w:rsid w:val="00585D45"/>
    <w:rsid w:val="00586DA9"/>
    <w:rsid w:val="0058794E"/>
    <w:rsid w:val="00587D44"/>
    <w:rsid w:val="005901D2"/>
    <w:rsid w:val="00591518"/>
    <w:rsid w:val="00591838"/>
    <w:rsid w:val="0059213C"/>
    <w:rsid w:val="0059437D"/>
    <w:rsid w:val="00594478"/>
    <w:rsid w:val="005944C2"/>
    <w:rsid w:val="00594ECB"/>
    <w:rsid w:val="00594EDE"/>
    <w:rsid w:val="005958D7"/>
    <w:rsid w:val="00596245"/>
    <w:rsid w:val="005968B9"/>
    <w:rsid w:val="00596C61"/>
    <w:rsid w:val="00597205"/>
    <w:rsid w:val="00597229"/>
    <w:rsid w:val="00597789"/>
    <w:rsid w:val="00597B36"/>
    <w:rsid w:val="00597DB4"/>
    <w:rsid w:val="005A07B3"/>
    <w:rsid w:val="005A0D86"/>
    <w:rsid w:val="005A1482"/>
    <w:rsid w:val="005A1816"/>
    <w:rsid w:val="005A25E3"/>
    <w:rsid w:val="005A270D"/>
    <w:rsid w:val="005A3B57"/>
    <w:rsid w:val="005A4350"/>
    <w:rsid w:val="005A4626"/>
    <w:rsid w:val="005A49E9"/>
    <w:rsid w:val="005A58A6"/>
    <w:rsid w:val="005A61FE"/>
    <w:rsid w:val="005A6785"/>
    <w:rsid w:val="005A7949"/>
    <w:rsid w:val="005A7D52"/>
    <w:rsid w:val="005B04EB"/>
    <w:rsid w:val="005B1264"/>
    <w:rsid w:val="005B1DBE"/>
    <w:rsid w:val="005B2B00"/>
    <w:rsid w:val="005B2D64"/>
    <w:rsid w:val="005B2D81"/>
    <w:rsid w:val="005B3F55"/>
    <w:rsid w:val="005B4B4B"/>
    <w:rsid w:val="005B5CB1"/>
    <w:rsid w:val="005C20AC"/>
    <w:rsid w:val="005C3BFC"/>
    <w:rsid w:val="005C3CDD"/>
    <w:rsid w:val="005C419C"/>
    <w:rsid w:val="005C4529"/>
    <w:rsid w:val="005C4D97"/>
    <w:rsid w:val="005C5FDB"/>
    <w:rsid w:val="005C61DE"/>
    <w:rsid w:val="005C623E"/>
    <w:rsid w:val="005C68B1"/>
    <w:rsid w:val="005C70F3"/>
    <w:rsid w:val="005D037D"/>
    <w:rsid w:val="005D2407"/>
    <w:rsid w:val="005D2972"/>
    <w:rsid w:val="005D3EFE"/>
    <w:rsid w:val="005D4CB7"/>
    <w:rsid w:val="005D5117"/>
    <w:rsid w:val="005D5222"/>
    <w:rsid w:val="005D5E14"/>
    <w:rsid w:val="005D75C8"/>
    <w:rsid w:val="005E0166"/>
    <w:rsid w:val="005E0922"/>
    <w:rsid w:val="005E1547"/>
    <w:rsid w:val="005E3C74"/>
    <w:rsid w:val="005E5730"/>
    <w:rsid w:val="005E6CB6"/>
    <w:rsid w:val="005E73E3"/>
    <w:rsid w:val="005F0C40"/>
    <w:rsid w:val="005F3F07"/>
    <w:rsid w:val="005F4467"/>
    <w:rsid w:val="005F4722"/>
    <w:rsid w:val="005F6CFD"/>
    <w:rsid w:val="005F7493"/>
    <w:rsid w:val="0060003A"/>
    <w:rsid w:val="006009FD"/>
    <w:rsid w:val="0060216A"/>
    <w:rsid w:val="006021AD"/>
    <w:rsid w:val="00602CE9"/>
    <w:rsid w:val="00603205"/>
    <w:rsid w:val="00603253"/>
    <w:rsid w:val="0060330B"/>
    <w:rsid w:val="006037B5"/>
    <w:rsid w:val="00603813"/>
    <w:rsid w:val="00603B1E"/>
    <w:rsid w:val="006041D2"/>
    <w:rsid w:val="00604F51"/>
    <w:rsid w:val="00605462"/>
    <w:rsid w:val="006056B1"/>
    <w:rsid w:val="00606127"/>
    <w:rsid w:val="00606278"/>
    <w:rsid w:val="00606522"/>
    <w:rsid w:val="00606B8C"/>
    <w:rsid w:val="006070E0"/>
    <w:rsid w:val="00607EF3"/>
    <w:rsid w:val="0061020B"/>
    <w:rsid w:val="00610585"/>
    <w:rsid w:val="006107A8"/>
    <w:rsid w:val="00610963"/>
    <w:rsid w:val="0061115E"/>
    <w:rsid w:val="006119BC"/>
    <w:rsid w:val="00613097"/>
    <w:rsid w:val="00613673"/>
    <w:rsid w:val="006138D5"/>
    <w:rsid w:val="0061479E"/>
    <w:rsid w:val="00614834"/>
    <w:rsid w:val="00617621"/>
    <w:rsid w:val="00617C1B"/>
    <w:rsid w:val="006205AE"/>
    <w:rsid w:val="0062188D"/>
    <w:rsid w:val="00621FAA"/>
    <w:rsid w:val="00623993"/>
    <w:rsid w:val="00624B22"/>
    <w:rsid w:val="00624CFA"/>
    <w:rsid w:val="00624DA7"/>
    <w:rsid w:val="00625787"/>
    <w:rsid w:val="006260C5"/>
    <w:rsid w:val="006269D7"/>
    <w:rsid w:val="00627685"/>
    <w:rsid w:val="00627BC7"/>
    <w:rsid w:val="006308B5"/>
    <w:rsid w:val="006315B6"/>
    <w:rsid w:val="00631D35"/>
    <w:rsid w:val="00632258"/>
    <w:rsid w:val="00632EF3"/>
    <w:rsid w:val="00633015"/>
    <w:rsid w:val="006333AE"/>
    <w:rsid w:val="00633E1B"/>
    <w:rsid w:val="00635025"/>
    <w:rsid w:val="006353C2"/>
    <w:rsid w:val="0063546B"/>
    <w:rsid w:val="00635BEB"/>
    <w:rsid w:val="0063607A"/>
    <w:rsid w:val="00636763"/>
    <w:rsid w:val="00637149"/>
    <w:rsid w:val="006378C9"/>
    <w:rsid w:val="00640243"/>
    <w:rsid w:val="00641E51"/>
    <w:rsid w:val="00643536"/>
    <w:rsid w:val="00643714"/>
    <w:rsid w:val="006440B1"/>
    <w:rsid w:val="006446CB"/>
    <w:rsid w:val="00644AA9"/>
    <w:rsid w:val="00644DA3"/>
    <w:rsid w:val="00646386"/>
    <w:rsid w:val="00646946"/>
    <w:rsid w:val="0064790C"/>
    <w:rsid w:val="006500FC"/>
    <w:rsid w:val="00650E52"/>
    <w:rsid w:val="006512BA"/>
    <w:rsid w:val="006515F7"/>
    <w:rsid w:val="00652A05"/>
    <w:rsid w:val="00652EF6"/>
    <w:rsid w:val="006537D6"/>
    <w:rsid w:val="00654014"/>
    <w:rsid w:val="00655015"/>
    <w:rsid w:val="0065528D"/>
    <w:rsid w:val="006555DF"/>
    <w:rsid w:val="00655705"/>
    <w:rsid w:val="00656C96"/>
    <w:rsid w:val="00657442"/>
    <w:rsid w:val="006601A0"/>
    <w:rsid w:val="00660203"/>
    <w:rsid w:val="0066052D"/>
    <w:rsid w:val="00660793"/>
    <w:rsid w:val="00660A64"/>
    <w:rsid w:val="00660F92"/>
    <w:rsid w:val="00660FB3"/>
    <w:rsid w:val="0066222A"/>
    <w:rsid w:val="00664408"/>
    <w:rsid w:val="00665B67"/>
    <w:rsid w:val="00665DF9"/>
    <w:rsid w:val="0066665B"/>
    <w:rsid w:val="0066753D"/>
    <w:rsid w:val="00667A78"/>
    <w:rsid w:val="006704A5"/>
    <w:rsid w:val="00670FD9"/>
    <w:rsid w:val="0067262C"/>
    <w:rsid w:val="00672F7C"/>
    <w:rsid w:val="00673051"/>
    <w:rsid w:val="00673790"/>
    <w:rsid w:val="00673E56"/>
    <w:rsid w:val="00673EB4"/>
    <w:rsid w:val="006741E8"/>
    <w:rsid w:val="00674597"/>
    <w:rsid w:val="006753CF"/>
    <w:rsid w:val="0067541E"/>
    <w:rsid w:val="006757F2"/>
    <w:rsid w:val="00675FFA"/>
    <w:rsid w:val="006761CF"/>
    <w:rsid w:val="00676582"/>
    <w:rsid w:val="00676798"/>
    <w:rsid w:val="0067704D"/>
    <w:rsid w:val="00677294"/>
    <w:rsid w:val="00680264"/>
    <w:rsid w:val="006810AE"/>
    <w:rsid w:val="006819A3"/>
    <w:rsid w:val="00683DF7"/>
    <w:rsid w:val="00684C7A"/>
    <w:rsid w:val="00684E6A"/>
    <w:rsid w:val="00684E9A"/>
    <w:rsid w:val="00685EB1"/>
    <w:rsid w:val="00686208"/>
    <w:rsid w:val="006864B6"/>
    <w:rsid w:val="00687744"/>
    <w:rsid w:val="00687845"/>
    <w:rsid w:val="00690072"/>
    <w:rsid w:val="00690502"/>
    <w:rsid w:val="00690BB0"/>
    <w:rsid w:val="00690EB0"/>
    <w:rsid w:val="00691C91"/>
    <w:rsid w:val="0069306C"/>
    <w:rsid w:val="00694762"/>
    <w:rsid w:val="00695773"/>
    <w:rsid w:val="006957C9"/>
    <w:rsid w:val="00695871"/>
    <w:rsid w:val="00696032"/>
    <w:rsid w:val="006960FB"/>
    <w:rsid w:val="006975EE"/>
    <w:rsid w:val="00697A9C"/>
    <w:rsid w:val="006A03D8"/>
    <w:rsid w:val="006A0E0A"/>
    <w:rsid w:val="006A119D"/>
    <w:rsid w:val="006A1F63"/>
    <w:rsid w:val="006A2071"/>
    <w:rsid w:val="006A2337"/>
    <w:rsid w:val="006A28E2"/>
    <w:rsid w:val="006A2D08"/>
    <w:rsid w:val="006A2E0C"/>
    <w:rsid w:val="006A344E"/>
    <w:rsid w:val="006A3EE7"/>
    <w:rsid w:val="006A3FA8"/>
    <w:rsid w:val="006A43F6"/>
    <w:rsid w:val="006A4450"/>
    <w:rsid w:val="006A44A7"/>
    <w:rsid w:val="006A47B4"/>
    <w:rsid w:val="006A55C0"/>
    <w:rsid w:val="006A617B"/>
    <w:rsid w:val="006A6E12"/>
    <w:rsid w:val="006A6F92"/>
    <w:rsid w:val="006A726B"/>
    <w:rsid w:val="006A7DAF"/>
    <w:rsid w:val="006A7DB0"/>
    <w:rsid w:val="006B0429"/>
    <w:rsid w:val="006B0F79"/>
    <w:rsid w:val="006B199C"/>
    <w:rsid w:val="006B1D0A"/>
    <w:rsid w:val="006B28CE"/>
    <w:rsid w:val="006B2E41"/>
    <w:rsid w:val="006B4265"/>
    <w:rsid w:val="006B467B"/>
    <w:rsid w:val="006B4686"/>
    <w:rsid w:val="006B4D95"/>
    <w:rsid w:val="006B53A2"/>
    <w:rsid w:val="006B5A45"/>
    <w:rsid w:val="006B5EAC"/>
    <w:rsid w:val="006B6233"/>
    <w:rsid w:val="006B6748"/>
    <w:rsid w:val="006B717B"/>
    <w:rsid w:val="006B7307"/>
    <w:rsid w:val="006C1339"/>
    <w:rsid w:val="006C37A3"/>
    <w:rsid w:val="006C3C40"/>
    <w:rsid w:val="006C4D51"/>
    <w:rsid w:val="006C533B"/>
    <w:rsid w:val="006C533E"/>
    <w:rsid w:val="006C53B5"/>
    <w:rsid w:val="006C5C41"/>
    <w:rsid w:val="006C5F18"/>
    <w:rsid w:val="006C7091"/>
    <w:rsid w:val="006D0716"/>
    <w:rsid w:val="006D0BCD"/>
    <w:rsid w:val="006D0D67"/>
    <w:rsid w:val="006D0F3E"/>
    <w:rsid w:val="006D1275"/>
    <w:rsid w:val="006D17F4"/>
    <w:rsid w:val="006D190E"/>
    <w:rsid w:val="006D1BE2"/>
    <w:rsid w:val="006D62DC"/>
    <w:rsid w:val="006D6AE0"/>
    <w:rsid w:val="006D7292"/>
    <w:rsid w:val="006D7C56"/>
    <w:rsid w:val="006E00A2"/>
    <w:rsid w:val="006E0284"/>
    <w:rsid w:val="006E02DA"/>
    <w:rsid w:val="006E0B61"/>
    <w:rsid w:val="006E1A65"/>
    <w:rsid w:val="006E3BF5"/>
    <w:rsid w:val="006E4431"/>
    <w:rsid w:val="006E601C"/>
    <w:rsid w:val="006E686D"/>
    <w:rsid w:val="006E6C46"/>
    <w:rsid w:val="006E6F77"/>
    <w:rsid w:val="006E7C3D"/>
    <w:rsid w:val="006F03C4"/>
    <w:rsid w:val="006F0417"/>
    <w:rsid w:val="006F0615"/>
    <w:rsid w:val="006F07F0"/>
    <w:rsid w:val="006F147D"/>
    <w:rsid w:val="006F2BC9"/>
    <w:rsid w:val="006F2D59"/>
    <w:rsid w:val="006F34D3"/>
    <w:rsid w:val="006F3F2B"/>
    <w:rsid w:val="006F44FD"/>
    <w:rsid w:val="006F4B4E"/>
    <w:rsid w:val="006F6943"/>
    <w:rsid w:val="006F735C"/>
    <w:rsid w:val="007008DE"/>
    <w:rsid w:val="007020E1"/>
    <w:rsid w:val="0070308E"/>
    <w:rsid w:val="00703FD3"/>
    <w:rsid w:val="007040ED"/>
    <w:rsid w:val="0070438A"/>
    <w:rsid w:val="0070494F"/>
    <w:rsid w:val="007053AB"/>
    <w:rsid w:val="00705528"/>
    <w:rsid w:val="00707DB4"/>
    <w:rsid w:val="00710478"/>
    <w:rsid w:val="00710631"/>
    <w:rsid w:val="00710A61"/>
    <w:rsid w:val="00710BF5"/>
    <w:rsid w:val="00712548"/>
    <w:rsid w:val="007134C5"/>
    <w:rsid w:val="007144D7"/>
    <w:rsid w:val="00714785"/>
    <w:rsid w:val="00715167"/>
    <w:rsid w:val="00715597"/>
    <w:rsid w:val="0071559E"/>
    <w:rsid w:val="00715B5B"/>
    <w:rsid w:val="00716701"/>
    <w:rsid w:val="0071688F"/>
    <w:rsid w:val="0071734A"/>
    <w:rsid w:val="00717538"/>
    <w:rsid w:val="00720D59"/>
    <w:rsid w:val="00721FC1"/>
    <w:rsid w:val="00722D60"/>
    <w:rsid w:val="0072359A"/>
    <w:rsid w:val="007236B6"/>
    <w:rsid w:val="007239B9"/>
    <w:rsid w:val="00723A5C"/>
    <w:rsid w:val="0072405E"/>
    <w:rsid w:val="00724398"/>
    <w:rsid w:val="00725182"/>
    <w:rsid w:val="00725405"/>
    <w:rsid w:val="00726370"/>
    <w:rsid w:val="00727CD2"/>
    <w:rsid w:val="00727D4E"/>
    <w:rsid w:val="007352D5"/>
    <w:rsid w:val="00735E77"/>
    <w:rsid w:val="0073618C"/>
    <w:rsid w:val="00736655"/>
    <w:rsid w:val="00736C26"/>
    <w:rsid w:val="00737763"/>
    <w:rsid w:val="00737F61"/>
    <w:rsid w:val="00741A8B"/>
    <w:rsid w:val="00741CD3"/>
    <w:rsid w:val="00745026"/>
    <w:rsid w:val="00746555"/>
    <w:rsid w:val="0074691A"/>
    <w:rsid w:val="00746B4C"/>
    <w:rsid w:val="00746CA4"/>
    <w:rsid w:val="00747509"/>
    <w:rsid w:val="00747626"/>
    <w:rsid w:val="007477AE"/>
    <w:rsid w:val="0075105F"/>
    <w:rsid w:val="00751315"/>
    <w:rsid w:val="00751561"/>
    <w:rsid w:val="007515E6"/>
    <w:rsid w:val="0075218E"/>
    <w:rsid w:val="00752317"/>
    <w:rsid w:val="00752353"/>
    <w:rsid w:val="007529BB"/>
    <w:rsid w:val="00752EAF"/>
    <w:rsid w:val="007541E4"/>
    <w:rsid w:val="007550E2"/>
    <w:rsid w:val="00755E4A"/>
    <w:rsid w:val="007569ED"/>
    <w:rsid w:val="007570A1"/>
    <w:rsid w:val="0075727E"/>
    <w:rsid w:val="00757574"/>
    <w:rsid w:val="0075799F"/>
    <w:rsid w:val="00757E2A"/>
    <w:rsid w:val="007600AA"/>
    <w:rsid w:val="00761147"/>
    <w:rsid w:val="0076114B"/>
    <w:rsid w:val="0076152E"/>
    <w:rsid w:val="00762B41"/>
    <w:rsid w:val="00762FAB"/>
    <w:rsid w:val="0076358E"/>
    <w:rsid w:val="0076385C"/>
    <w:rsid w:val="007640EF"/>
    <w:rsid w:val="0076432E"/>
    <w:rsid w:val="0076465D"/>
    <w:rsid w:val="007651C1"/>
    <w:rsid w:val="00765B5D"/>
    <w:rsid w:val="007661A5"/>
    <w:rsid w:val="00767273"/>
    <w:rsid w:val="00767585"/>
    <w:rsid w:val="00767AB1"/>
    <w:rsid w:val="00767ADD"/>
    <w:rsid w:val="0077192A"/>
    <w:rsid w:val="0077221A"/>
    <w:rsid w:val="00772631"/>
    <w:rsid w:val="007726D5"/>
    <w:rsid w:val="0077351D"/>
    <w:rsid w:val="0077444F"/>
    <w:rsid w:val="007747CB"/>
    <w:rsid w:val="00774B1C"/>
    <w:rsid w:val="00775095"/>
    <w:rsid w:val="007750B9"/>
    <w:rsid w:val="00775781"/>
    <w:rsid w:val="00776C5E"/>
    <w:rsid w:val="00776FF6"/>
    <w:rsid w:val="00777AC2"/>
    <w:rsid w:val="00780C9E"/>
    <w:rsid w:val="007817E0"/>
    <w:rsid w:val="00782B7F"/>
    <w:rsid w:val="00782CAE"/>
    <w:rsid w:val="00782F21"/>
    <w:rsid w:val="00783135"/>
    <w:rsid w:val="0078370E"/>
    <w:rsid w:val="007843C1"/>
    <w:rsid w:val="00784667"/>
    <w:rsid w:val="00784F4C"/>
    <w:rsid w:val="00786331"/>
    <w:rsid w:val="007871F5"/>
    <w:rsid w:val="0079011D"/>
    <w:rsid w:val="007902EE"/>
    <w:rsid w:val="00790429"/>
    <w:rsid w:val="00790F3F"/>
    <w:rsid w:val="00791B1F"/>
    <w:rsid w:val="00791EAE"/>
    <w:rsid w:val="00792521"/>
    <w:rsid w:val="00794366"/>
    <w:rsid w:val="00794B4C"/>
    <w:rsid w:val="00796978"/>
    <w:rsid w:val="00796BA4"/>
    <w:rsid w:val="007A0023"/>
    <w:rsid w:val="007A0A60"/>
    <w:rsid w:val="007A2014"/>
    <w:rsid w:val="007A6838"/>
    <w:rsid w:val="007A6B89"/>
    <w:rsid w:val="007A7435"/>
    <w:rsid w:val="007A774C"/>
    <w:rsid w:val="007B1BD5"/>
    <w:rsid w:val="007B206F"/>
    <w:rsid w:val="007B2C1D"/>
    <w:rsid w:val="007B485D"/>
    <w:rsid w:val="007B49EA"/>
    <w:rsid w:val="007B4A2E"/>
    <w:rsid w:val="007B4C47"/>
    <w:rsid w:val="007B511B"/>
    <w:rsid w:val="007B515D"/>
    <w:rsid w:val="007B57A6"/>
    <w:rsid w:val="007B5C01"/>
    <w:rsid w:val="007B6866"/>
    <w:rsid w:val="007B7070"/>
    <w:rsid w:val="007B7406"/>
    <w:rsid w:val="007B7539"/>
    <w:rsid w:val="007C3510"/>
    <w:rsid w:val="007C3E6E"/>
    <w:rsid w:val="007C3E92"/>
    <w:rsid w:val="007C4ECC"/>
    <w:rsid w:val="007C51F0"/>
    <w:rsid w:val="007C55BB"/>
    <w:rsid w:val="007C678C"/>
    <w:rsid w:val="007C6959"/>
    <w:rsid w:val="007C6CD6"/>
    <w:rsid w:val="007C7599"/>
    <w:rsid w:val="007D057E"/>
    <w:rsid w:val="007D0F3A"/>
    <w:rsid w:val="007D120D"/>
    <w:rsid w:val="007D14B8"/>
    <w:rsid w:val="007D3315"/>
    <w:rsid w:val="007D375B"/>
    <w:rsid w:val="007D3AFD"/>
    <w:rsid w:val="007D7FC4"/>
    <w:rsid w:val="007E330F"/>
    <w:rsid w:val="007E335E"/>
    <w:rsid w:val="007E3EAC"/>
    <w:rsid w:val="007E45DD"/>
    <w:rsid w:val="007E51CC"/>
    <w:rsid w:val="007E57C3"/>
    <w:rsid w:val="007E66B5"/>
    <w:rsid w:val="007E6A6A"/>
    <w:rsid w:val="007E7195"/>
    <w:rsid w:val="007F2139"/>
    <w:rsid w:val="007F27CC"/>
    <w:rsid w:val="007F402B"/>
    <w:rsid w:val="007F4967"/>
    <w:rsid w:val="007F4BF2"/>
    <w:rsid w:val="007F550E"/>
    <w:rsid w:val="007F7348"/>
    <w:rsid w:val="00801335"/>
    <w:rsid w:val="00801907"/>
    <w:rsid w:val="00801E56"/>
    <w:rsid w:val="00804D48"/>
    <w:rsid w:val="0080549C"/>
    <w:rsid w:val="00805CF3"/>
    <w:rsid w:val="00807BA3"/>
    <w:rsid w:val="00807BE1"/>
    <w:rsid w:val="008104FD"/>
    <w:rsid w:val="00810712"/>
    <w:rsid w:val="00810861"/>
    <w:rsid w:val="00810B6B"/>
    <w:rsid w:val="00811430"/>
    <w:rsid w:val="0081156F"/>
    <w:rsid w:val="00812B0F"/>
    <w:rsid w:val="008151C4"/>
    <w:rsid w:val="00815B69"/>
    <w:rsid w:val="00816A13"/>
    <w:rsid w:val="00817AA6"/>
    <w:rsid w:val="0082101E"/>
    <w:rsid w:val="00821104"/>
    <w:rsid w:val="0082148B"/>
    <w:rsid w:val="008223CA"/>
    <w:rsid w:val="00822C72"/>
    <w:rsid w:val="00822D15"/>
    <w:rsid w:val="008237E7"/>
    <w:rsid w:val="00823C62"/>
    <w:rsid w:val="008259B4"/>
    <w:rsid w:val="00825D4C"/>
    <w:rsid w:val="00825E5B"/>
    <w:rsid w:val="00826113"/>
    <w:rsid w:val="00826493"/>
    <w:rsid w:val="00826BEE"/>
    <w:rsid w:val="00827402"/>
    <w:rsid w:val="008277A0"/>
    <w:rsid w:val="00827CD7"/>
    <w:rsid w:val="00831009"/>
    <w:rsid w:val="00831433"/>
    <w:rsid w:val="0083182B"/>
    <w:rsid w:val="008320F0"/>
    <w:rsid w:val="00832F04"/>
    <w:rsid w:val="0083327F"/>
    <w:rsid w:val="00833B94"/>
    <w:rsid w:val="00834D81"/>
    <w:rsid w:val="00836453"/>
    <w:rsid w:val="00836F19"/>
    <w:rsid w:val="0083709E"/>
    <w:rsid w:val="00837247"/>
    <w:rsid w:val="00837271"/>
    <w:rsid w:val="0083799C"/>
    <w:rsid w:val="00837F01"/>
    <w:rsid w:val="00840C36"/>
    <w:rsid w:val="00841452"/>
    <w:rsid w:val="00841A50"/>
    <w:rsid w:val="00841E60"/>
    <w:rsid w:val="008421A5"/>
    <w:rsid w:val="0084297A"/>
    <w:rsid w:val="00843206"/>
    <w:rsid w:val="00843333"/>
    <w:rsid w:val="00843E07"/>
    <w:rsid w:val="00845804"/>
    <w:rsid w:val="008463C2"/>
    <w:rsid w:val="0084723A"/>
    <w:rsid w:val="008510DA"/>
    <w:rsid w:val="008514B8"/>
    <w:rsid w:val="0085287F"/>
    <w:rsid w:val="008534D7"/>
    <w:rsid w:val="0085372D"/>
    <w:rsid w:val="00853BC5"/>
    <w:rsid w:val="00854A2D"/>
    <w:rsid w:val="00854CBB"/>
    <w:rsid w:val="00855FBE"/>
    <w:rsid w:val="00856661"/>
    <w:rsid w:val="008573A4"/>
    <w:rsid w:val="00857497"/>
    <w:rsid w:val="00857A1A"/>
    <w:rsid w:val="00860622"/>
    <w:rsid w:val="00860997"/>
    <w:rsid w:val="008611C2"/>
    <w:rsid w:val="008626C9"/>
    <w:rsid w:val="00862745"/>
    <w:rsid w:val="00862D18"/>
    <w:rsid w:val="00863F8B"/>
    <w:rsid w:val="008651B2"/>
    <w:rsid w:val="00865688"/>
    <w:rsid w:val="0086598A"/>
    <w:rsid w:val="00865E2D"/>
    <w:rsid w:val="00866C96"/>
    <w:rsid w:val="00866D84"/>
    <w:rsid w:val="008671D1"/>
    <w:rsid w:val="00867428"/>
    <w:rsid w:val="00871F54"/>
    <w:rsid w:val="0087371F"/>
    <w:rsid w:val="008746A9"/>
    <w:rsid w:val="00874AAE"/>
    <w:rsid w:val="00874C63"/>
    <w:rsid w:val="00874C7F"/>
    <w:rsid w:val="0087534E"/>
    <w:rsid w:val="008758C6"/>
    <w:rsid w:val="00875C49"/>
    <w:rsid w:val="00876535"/>
    <w:rsid w:val="008766C4"/>
    <w:rsid w:val="00876F41"/>
    <w:rsid w:val="00877475"/>
    <w:rsid w:val="00880456"/>
    <w:rsid w:val="0088128C"/>
    <w:rsid w:val="0088167E"/>
    <w:rsid w:val="00881A0E"/>
    <w:rsid w:val="00882E43"/>
    <w:rsid w:val="00882EBC"/>
    <w:rsid w:val="008833C4"/>
    <w:rsid w:val="008837E9"/>
    <w:rsid w:val="00886ECB"/>
    <w:rsid w:val="008903BD"/>
    <w:rsid w:val="00890E96"/>
    <w:rsid w:val="00893BEC"/>
    <w:rsid w:val="00894342"/>
    <w:rsid w:val="00894768"/>
    <w:rsid w:val="008947CF"/>
    <w:rsid w:val="00894F30"/>
    <w:rsid w:val="008955B1"/>
    <w:rsid w:val="00897040"/>
    <w:rsid w:val="008A18B0"/>
    <w:rsid w:val="008A18F0"/>
    <w:rsid w:val="008A2148"/>
    <w:rsid w:val="008A2339"/>
    <w:rsid w:val="008A31CB"/>
    <w:rsid w:val="008A38A1"/>
    <w:rsid w:val="008A3ADB"/>
    <w:rsid w:val="008A4792"/>
    <w:rsid w:val="008A6431"/>
    <w:rsid w:val="008A7980"/>
    <w:rsid w:val="008B0E01"/>
    <w:rsid w:val="008B23B7"/>
    <w:rsid w:val="008B379E"/>
    <w:rsid w:val="008B48DE"/>
    <w:rsid w:val="008B5202"/>
    <w:rsid w:val="008B6155"/>
    <w:rsid w:val="008B6296"/>
    <w:rsid w:val="008C13CE"/>
    <w:rsid w:val="008C1600"/>
    <w:rsid w:val="008C16E6"/>
    <w:rsid w:val="008C1FC7"/>
    <w:rsid w:val="008C26F1"/>
    <w:rsid w:val="008C2AE9"/>
    <w:rsid w:val="008C2DD1"/>
    <w:rsid w:val="008C2E00"/>
    <w:rsid w:val="008C39C1"/>
    <w:rsid w:val="008C3E65"/>
    <w:rsid w:val="008C6FA3"/>
    <w:rsid w:val="008D0C49"/>
    <w:rsid w:val="008D18A6"/>
    <w:rsid w:val="008D1BA8"/>
    <w:rsid w:val="008D31CB"/>
    <w:rsid w:val="008D489F"/>
    <w:rsid w:val="008D495F"/>
    <w:rsid w:val="008D496D"/>
    <w:rsid w:val="008D5282"/>
    <w:rsid w:val="008D5B47"/>
    <w:rsid w:val="008D5E3C"/>
    <w:rsid w:val="008D69CB"/>
    <w:rsid w:val="008D70F2"/>
    <w:rsid w:val="008E00FE"/>
    <w:rsid w:val="008E22A0"/>
    <w:rsid w:val="008E263D"/>
    <w:rsid w:val="008E4DC5"/>
    <w:rsid w:val="008E5CFA"/>
    <w:rsid w:val="008E60AB"/>
    <w:rsid w:val="008E6255"/>
    <w:rsid w:val="008E6869"/>
    <w:rsid w:val="008E6B70"/>
    <w:rsid w:val="008E7127"/>
    <w:rsid w:val="008E7625"/>
    <w:rsid w:val="008E782F"/>
    <w:rsid w:val="008E7852"/>
    <w:rsid w:val="008F314A"/>
    <w:rsid w:val="008F34CD"/>
    <w:rsid w:val="008F3AC7"/>
    <w:rsid w:val="008F415F"/>
    <w:rsid w:val="008F5DA0"/>
    <w:rsid w:val="008F65DF"/>
    <w:rsid w:val="008F67F9"/>
    <w:rsid w:val="008F7C68"/>
    <w:rsid w:val="00900339"/>
    <w:rsid w:val="00900372"/>
    <w:rsid w:val="009005FC"/>
    <w:rsid w:val="00901B5C"/>
    <w:rsid w:val="009028DC"/>
    <w:rsid w:val="00902A5C"/>
    <w:rsid w:val="009032D7"/>
    <w:rsid w:val="00903B36"/>
    <w:rsid w:val="00904A2E"/>
    <w:rsid w:val="00905D52"/>
    <w:rsid w:val="00907081"/>
    <w:rsid w:val="0090791C"/>
    <w:rsid w:val="00910717"/>
    <w:rsid w:val="00911B13"/>
    <w:rsid w:val="00911E78"/>
    <w:rsid w:val="00912638"/>
    <w:rsid w:val="009128F9"/>
    <w:rsid w:val="00912A34"/>
    <w:rsid w:val="00913395"/>
    <w:rsid w:val="00913D5D"/>
    <w:rsid w:val="00913D70"/>
    <w:rsid w:val="00914CED"/>
    <w:rsid w:val="00914EDC"/>
    <w:rsid w:val="009160CF"/>
    <w:rsid w:val="0091631A"/>
    <w:rsid w:val="00917D4B"/>
    <w:rsid w:val="009204F0"/>
    <w:rsid w:val="009206F5"/>
    <w:rsid w:val="00920ED0"/>
    <w:rsid w:val="0092117C"/>
    <w:rsid w:val="0092396F"/>
    <w:rsid w:val="00923B2F"/>
    <w:rsid w:val="00924781"/>
    <w:rsid w:val="0092590F"/>
    <w:rsid w:val="00927174"/>
    <w:rsid w:val="00927393"/>
    <w:rsid w:val="00930D1E"/>
    <w:rsid w:val="00931654"/>
    <w:rsid w:val="00931A3B"/>
    <w:rsid w:val="00932067"/>
    <w:rsid w:val="00932172"/>
    <w:rsid w:val="00934912"/>
    <w:rsid w:val="009357A8"/>
    <w:rsid w:val="0093626F"/>
    <w:rsid w:val="0093635F"/>
    <w:rsid w:val="00937260"/>
    <w:rsid w:val="0093776A"/>
    <w:rsid w:val="009407A0"/>
    <w:rsid w:val="00940A5A"/>
    <w:rsid w:val="00940B27"/>
    <w:rsid w:val="00941ACF"/>
    <w:rsid w:val="00941F11"/>
    <w:rsid w:val="00942A7C"/>
    <w:rsid w:val="00943CD7"/>
    <w:rsid w:val="00945B04"/>
    <w:rsid w:val="00946AAE"/>
    <w:rsid w:val="00946AC8"/>
    <w:rsid w:val="00946C3D"/>
    <w:rsid w:val="0095012C"/>
    <w:rsid w:val="00950E81"/>
    <w:rsid w:val="00951825"/>
    <w:rsid w:val="00951F43"/>
    <w:rsid w:val="00951F66"/>
    <w:rsid w:val="0095391D"/>
    <w:rsid w:val="00953BBC"/>
    <w:rsid w:val="00954D20"/>
    <w:rsid w:val="00954D37"/>
    <w:rsid w:val="0095526A"/>
    <w:rsid w:val="00955402"/>
    <w:rsid w:val="0095546C"/>
    <w:rsid w:val="00955C09"/>
    <w:rsid w:val="009568A6"/>
    <w:rsid w:val="00956E05"/>
    <w:rsid w:val="00957D90"/>
    <w:rsid w:val="009611F9"/>
    <w:rsid w:val="009614CF"/>
    <w:rsid w:val="009617D6"/>
    <w:rsid w:val="0096183B"/>
    <w:rsid w:val="009621C6"/>
    <w:rsid w:val="0096283F"/>
    <w:rsid w:val="00962FC6"/>
    <w:rsid w:val="00963040"/>
    <w:rsid w:val="00965B17"/>
    <w:rsid w:val="00965C74"/>
    <w:rsid w:val="00965DF4"/>
    <w:rsid w:val="009667A8"/>
    <w:rsid w:val="009669EC"/>
    <w:rsid w:val="009672F0"/>
    <w:rsid w:val="00967E9C"/>
    <w:rsid w:val="00970075"/>
    <w:rsid w:val="009701D7"/>
    <w:rsid w:val="00970FDC"/>
    <w:rsid w:val="0097119C"/>
    <w:rsid w:val="009715AB"/>
    <w:rsid w:val="00971750"/>
    <w:rsid w:val="0097188A"/>
    <w:rsid w:val="00972E79"/>
    <w:rsid w:val="00973B9A"/>
    <w:rsid w:val="00973DC1"/>
    <w:rsid w:val="0097462B"/>
    <w:rsid w:val="00976F4D"/>
    <w:rsid w:val="009778D9"/>
    <w:rsid w:val="00980419"/>
    <w:rsid w:val="00980805"/>
    <w:rsid w:val="00980D4F"/>
    <w:rsid w:val="00981338"/>
    <w:rsid w:val="00981A97"/>
    <w:rsid w:val="00981D2C"/>
    <w:rsid w:val="00983AD5"/>
    <w:rsid w:val="00983B0F"/>
    <w:rsid w:val="00986071"/>
    <w:rsid w:val="0098612E"/>
    <w:rsid w:val="0098636D"/>
    <w:rsid w:val="00986A80"/>
    <w:rsid w:val="009910FD"/>
    <w:rsid w:val="00991210"/>
    <w:rsid w:val="00991713"/>
    <w:rsid w:val="009919C4"/>
    <w:rsid w:val="00992829"/>
    <w:rsid w:val="00993FBE"/>
    <w:rsid w:val="00994251"/>
    <w:rsid w:val="00994567"/>
    <w:rsid w:val="00994ADC"/>
    <w:rsid w:val="009951A9"/>
    <w:rsid w:val="0099585A"/>
    <w:rsid w:val="00995F7A"/>
    <w:rsid w:val="0099634F"/>
    <w:rsid w:val="009967EE"/>
    <w:rsid w:val="0099696D"/>
    <w:rsid w:val="00996AF8"/>
    <w:rsid w:val="009A0210"/>
    <w:rsid w:val="009A0972"/>
    <w:rsid w:val="009A24F3"/>
    <w:rsid w:val="009A31BF"/>
    <w:rsid w:val="009A4D45"/>
    <w:rsid w:val="009A4E93"/>
    <w:rsid w:val="009A52CF"/>
    <w:rsid w:val="009A58C0"/>
    <w:rsid w:val="009A5F4A"/>
    <w:rsid w:val="009A67AC"/>
    <w:rsid w:val="009A6DFC"/>
    <w:rsid w:val="009A70B1"/>
    <w:rsid w:val="009A764E"/>
    <w:rsid w:val="009A76EF"/>
    <w:rsid w:val="009A7C06"/>
    <w:rsid w:val="009B0DFA"/>
    <w:rsid w:val="009B13D0"/>
    <w:rsid w:val="009B1895"/>
    <w:rsid w:val="009B1FBD"/>
    <w:rsid w:val="009B251D"/>
    <w:rsid w:val="009B31BB"/>
    <w:rsid w:val="009B3319"/>
    <w:rsid w:val="009B3E7C"/>
    <w:rsid w:val="009B44AA"/>
    <w:rsid w:val="009B5FDA"/>
    <w:rsid w:val="009B7ECE"/>
    <w:rsid w:val="009C12C0"/>
    <w:rsid w:val="009C15D7"/>
    <w:rsid w:val="009C188B"/>
    <w:rsid w:val="009C1A06"/>
    <w:rsid w:val="009C1EDA"/>
    <w:rsid w:val="009C28C6"/>
    <w:rsid w:val="009C3036"/>
    <w:rsid w:val="009C3363"/>
    <w:rsid w:val="009C40D6"/>
    <w:rsid w:val="009C4D58"/>
    <w:rsid w:val="009C4DBC"/>
    <w:rsid w:val="009C5837"/>
    <w:rsid w:val="009C5E68"/>
    <w:rsid w:val="009C68E8"/>
    <w:rsid w:val="009C6A29"/>
    <w:rsid w:val="009D0957"/>
    <w:rsid w:val="009D1440"/>
    <w:rsid w:val="009D17F9"/>
    <w:rsid w:val="009D1E7A"/>
    <w:rsid w:val="009D1F1E"/>
    <w:rsid w:val="009D1F2E"/>
    <w:rsid w:val="009D2B50"/>
    <w:rsid w:val="009D3610"/>
    <w:rsid w:val="009D41E7"/>
    <w:rsid w:val="009D4D48"/>
    <w:rsid w:val="009D4FFC"/>
    <w:rsid w:val="009D656F"/>
    <w:rsid w:val="009D6E45"/>
    <w:rsid w:val="009D758F"/>
    <w:rsid w:val="009E15AD"/>
    <w:rsid w:val="009E1851"/>
    <w:rsid w:val="009E1B6D"/>
    <w:rsid w:val="009E4548"/>
    <w:rsid w:val="009E5029"/>
    <w:rsid w:val="009E5550"/>
    <w:rsid w:val="009E5AC5"/>
    <w:rsid w:val="009E63D9"/>
    <w:rsid w:val="009E7165"/>
    <w:rsid w:val="009E7FDC"/>
    <w:rsid w:val="009F01F7"/>
    <w:rsid w:val="009F032B"/>
    <w:rsid w:val="009F0652"/>
    <w:rsid w:val="009F06B9"/>
    <w:rsid w:val="009F0C85"/>
    <w:rsid w:val="009F1126"/>
    <w:rsid w:val="009F156C"/>
    <w:rsid w:val="009F26F4"/>
    <w:rsid w:val="009F3101"/>
    <w:rsid w:val="009F3F99"/>
    <w:rsid w:val="009F402D"/>
    <w:rsid w:val="009F40A7"/>
    <w:rsid w:val="009F431E"/>
    <w:rsid w:val="009F454B"/>
    <w:rsid w:val="009F4A91"/>
    <w:rsid w:val="009F5117"/>
    <w:rsid w:val="009F5F39"/>
    <w:rsid w:val="00A003B8"/>
    <w:rsid w:val="00A005C5"/>
    <w:rsid w:val="00A013F0"/>
    <w:rsid w:val="00A02D07"/>
    <w:rsid w:val="00A02F2B"/>
    <w:rsid w:val="00A02F93"/>
    <w:rsid w:val="00A03C70"/>
    <w:rsid w:val="00A07D9B"/>
    <w:rsid w:val="00A101AE"/>
    <w:rsid w:val="00A10536"/>
    <w:rsid w:val="00A10A3C"/>
    <w:rsid w:val="00A131E7"/>
    <w:rsid w:val="00A133A7"/>
    <w:rsid w:val="00A13A60"/>
    <w:rsid w:val="00A13EE8"/>
    <w:rsid w:val="00A14B2A"/>
    <w:rsid w:val="00A14FA3"/>
    <w:rsid w:val="00A15504"/>
    <w:rsid w:val="00A1570C"/>
    <w:rsid w:val="00A1636A"/>
    <w:rsid w:val="00A16DA9"/>
    <w:rsid w:val="00A1759A"/>
    <w:rsid w:val="00A21186"/>
    <w:rsid w:val="00A224E6"/>
    <w:rsid w:val="00A22966"/>
    <w:rsid w:val="00A22D66"/>
    <w:rsid w:val="00A230F2"/>
    <w:rsid w:val="00A23A31"/>
    <w:rsid w:val="00A23F7A"/>
    <w:rsid w:val="00A24007"/>
    <w:rsid w:val="00A24062"/>
    <w:rsid w:val="00A2410F"/>
    <w:rsid w:val="00A24E12"/>
    <w:rsid w:val="00A25015"/>
    <w:rsid w:val="00A25873"/>
    <w:rsid w:val="00A26934"/>
    <w:rsid w:val="00A270C5"/>
    <w:rsid w:val="00A277EB"/>
    <w:rsid w:val="00A27A6B"/>
    <w:rsid w:val="00A3096B"/>
    <w:rsid w:val="00A30D19"/>
    <w:rsid w:val="00A30F69"/>
    <w:rsid w:val="00A31876"/>
    <w:rsid w:val="00A323C1"/>
    <w:rsid w:val="00A3260B"/>
    <w:rsid w:val="00A32B55"/>
    <w:rsid w:val="00A32EFF"/>
    <w:rsid w:val="00A346C3"/>
    <w:rsid w:val="00A3490B"/>
    <w:rsid w:val="00A3532B"/>
    <w:rsid w:val="00A35808"/>
    <w:rsid w:val="00A3630B"/>
    <w:rsid w:val="00A36969"/>
    <w:rsid w:val="00A369D1"/>
    <w:rsid w:val="00A36CF9"/>
    <w:rsid w:val="00A3707E"/>
    <w:rsid w:val="00A37201"/>
    <w:rsid w:val="00A37318"/>
    <w:rsid w:val="00A374C5"/>
    <w:rsid w:val="00A41C60"/>
    <w:rsid w:val="00A42794"/>
    <w:rsid w:val="00A429DF"/>
    <w:rsid w:val="00A431E7"/>
    <w:rsid w:val="00A4321E"/>
    <w:rsid w:val="00A43DE2"/>
    <w:rsid w:val="00A4461A"/>
    <w:rsid w:val="00A4644B"/>
    <w:rsid w:val="00A46956"/>
    <w:rsid w:val="00A46D68"/>
    <w:rsid w:val="00A50827"/>
    <w:rsid w:val="00A519CA"/>
    <w:rsid w:val="00A51E3F"/>
    <w:rsid w:val="00A523CD"/>
    <w:rsid w:val="00A53505"/>
    <w:rsid w:val="00A53784"/>
    <w:rsid w:val="00A53E3B"/>
    <w:rsid w:val="00A544AA"/>
    <w:rsid w:val="00A545B0"/>
    <w:rsid w:val="00A54CA0"/>
    <w:rsid w:val="00A55C39"/>
    <w:rsid w:val="00A56B99"/>
    <w:rsid w:val="00A56F1F"/>
    <w:rsid w:val="00A616C4"/>
    <w:rsid w:val="00A61BA3"/>
    <w:rsid w:val="00A627B7"/>
    <w:rsid w:val="00A63053"/>
    <w:rsid w:val="00A64396"/>
    <w:rsid w:val="00A6447F"/>
    <w:rsid w:val="00A656BF"/>
    <w:rsid w:val="00A65BCD"/>
    <w:rsid w:val="00A65E4F"/>
    <w:rsid w:val="00A65FDA"/>
    <w:rsid w:val="00A660ED"/>
    <w:rsid w:val="00A671B0"/>
    <w:rsid w:val="00A67F8A"/>
    <w:rsid w:val="00A70ECE"/>
    <w:rsid w:val="00A71901"/>
    <w:rsid w:val="00A719AA"/>
    <w:rsid w:val="00A71B45"/>
    <w:rsid w:val="00A727E7"/>
    <w:rsid w:val="00A73B12"/>
    <w:rsid w:val="00A73C4C"/>
    <w:rsid w:val="00A743B7"/>
    <w:rsid w:val="00A754AB"/>
    <w:rsid w:val="00A7572C"/>
    <w:rsid w:val="00A763D8"/>
    <w:rsid w:val="00A8052B"/>
    <w:rsid w:val="00A8090A"/>
    <w:rsid w:val="00A81F19"/>
    <w:rsid w:val="00A8222E"/>
    <w:rsid w:val="00A832A2"/>
    <w:rsid w:val="00A8543E"/>
    <w:rsid w:val="00A86E05"/>
    <w:rsid w:val="00A9070D"/>
    <w:rsid w:val="00A90830"/>
    <w:rsid w:val="00A908FA"/>
    <w:rsid w:val="00A917F3"/>
    <w:rsid w:val="00A91E09"/>
    <w:rsid w:val="00A92050"/>
    <w:rsid w:val="00A921D5"/>
    <w:rsid w:val="00A92A80"/>
    <w:rsid w:val="00A93A3E"/>
    <w:rsid w:val="00A95866"/>
    <w:rsid w:val="00A95E29"/>
    <w:rsid w:val="00A963A7"/>
    <w:rsid w:val="00A9695B"/>
    <w:rsid w:val="00A969CF"/>
    <w:rsid w:val="00A970A9"/>
    <w:rsid w:val="00AA00A1"/>
    <w:rsid w:val="00AA15E3"/>
    <w:rsid w:val="00AA1BD6"/>
    <w:rsid w:val="00AA43D8"/>
    <w:rsid w:val="00AA4A1B"/>
    <w:rsid w:val="00AA4BBE"/>
    <w:rsid w:val="00AA5474"/>
    <w:rsid w:val="00AA55C1"/>
    <w:rsid w:val="00AA5F5E"/>
    <w:rsid w:val="00AA5FF0"/>
    <w:rsid w:val="00AA77C3"/>
    <w:rsid w:val="00AA793A"/>
    <w:rsid w:val="00AB0A40"/>
    <w:rsid w:val="00AB2812"/>
    <w:rsid w:val="00AB296D"/>
    <w:rsid w:val="00AB34D9"/>
    <w:rsid w:val="00AB4245"/>
    <w:rsid w:val="00AB53AC"/>
    <w:rsid w:val="00AB5D73"/>
    <w:rsid w:val="00AC0630"/>
    <w:rsid w:val="00AC0922"/>
    <w:rsid w:val="00AC147E"/>
    <w:rsid w:val="00AC40A6"/>
    <w:rsid w:val="00AC4F13"/>
    <w:rsid w:val="00AC53CE"/>
    <w:rsid w:val="00AC54CF"/>
    <w:rsid w:val="00AC5BC8"/>
    <w:rsid w:val="00AC6329"/>
    <w:rsid w:val="00AC7594"/>
    <w:rsid w:val="00AD000A"/>
    <w:rsid w:val="00AD0140"/>
    <w:rsid w:val="00AD036B"/>
    <w:rsid w:val="00AD065D"/>
    <w:rsid w:val="00AD0975"/>
    <w:rsid w:val="00AD1511"/>
    <w:rsid w:val="00AD2291"/>
    <w:rsid w:val="00AD233C"/>
    <w:rsid w:val="00AD2AFC"/>
    <w:rsid w:val="00AD2D1D"/>
    <w:rsid w:val="00AD3266"/>
    <w:rsid w:val="00AD3351"/>
    <w:rsid w:val="00AD340C"/>
    <w:rsid w:val="00AD4076"/>
    <w:rsid w:val="00AD48F7"/>
    <w:rsid w:val="00AD4924"/>
    <w:rsid w:val="00AD5480"/>
    <w:rsid w:val="00AD58E7"/>
    <w:rsid w:val="00AD5BF7"/>
    <w:rsid w:val="00AD5EA9"/>
    <w:rsid w:val="00AD664D"/>
    <w:rsid w:val="00AD7DB5"/>
    <w:rsid w:val="00AE1226"/>
    <w:rsid w:val="00AE2083"/>
    <w:rsid w:val="00AE23CD"/>
    <w:rsid w:val="00AE3810"/>
    <w:rsid w:val="00AE487D"/>
    <w:rsid w:val="00AE4BC0"/>
    <w:rsid w:val="00AE4C69"/>
    <w:rsid w:val="00AE50A0"/>
    <w:rsid w:val="00AE50FA"/>
    <w:rsid w:val="00AE6066"/>
    <w:rsid w:val="00AE6903"/>
    <w:rsid w:val="00AE75F6"/>
    <w:rsid w:val="00AE7837"/>
    <w:rsid w:val="00AE7DF6"/>
    <w:rsid w:val="00AE7E5E"/>
    <w:rsid w:val="00AE7E73"/>
    <w:rsid w:val="00AF07D4"/>
    <w:rsid w:val="00AF0AAB"/>
    <w:rsid w:val="00AF1A08"/>
    <w:rsid w:val="00AF2479"/>
    <w:rsid w:val="00AF2B29"/>
    <w:rsid w:val="00AF34C9"/>
    <w:rsid w:val="00AF377E"/>
    <w:rsid w:val="00AF378B"/>
    <w:rsid w:val="00AF4440"/>
    <w:rsid w:val="00AF4495"/>
    <w:rsid w:val="00AF5521"/>
    <w:rsid w:val="00AF5DDF"/>
    <w:rsid w:val="00AF7194"/>
    <w:rsid w:val="00AF7E25"/>
    <w:rsid w:val="00B00D9E"/>
    <w:rsid w:val="00B00DD2"/>
    <w:rsid w:val="00B0219C"/>
    <w:rsid w:val="00B02BB8"/>
    <w:rsid w:val="00B0445E"/>
    <w:rsid w:val="00B045CE"/>
    <w:rsid w:val="00B045E5"/>
    <w:rsid w:val="00B0537F"/>
    <w:rsid w:val="00B054EF"/>
    <w:rsid w:val="00B06350"/>
    <w:rsid w:val="00B076B0"/>
    <w:rsid w:val="00B10D24"/>
    <w:rsid w:val="00B11A95"/>
    <w:rsid w:val="00B12F84"/>
    <w:rsid w:val="00B13267"/>
    <w:rsid w:val="00B13A97"/>
    <w:rsid w:val="00B1415F"/>
    <w:rsid w:val="00B15B31"/>
    <w:rsid w:val="00B1756E"/>
    <w:rsid w:val="00B202D7"/>
    <w:rsid w:val="00B2030A"/>
    <w:rsid w:val="00B21247"/>
    <w:rsid w:val="00B21CBF"/>
    <w:rsid w:val="00B2244F"/>
    <w:rsid w:val="00B22EB5"/>
    <w:rsid w:val="00B232A8"/>
    <w:rsid w:val="00B2336C"/>
    <w:rsid w:val="00B24350"/>
    <w:rsid w:val="00B246E5"/>
    <w:rsid w:val="00B25A94"/>
    <w:rsid w:val="00B25CE3"/>
    <w:rsid w:val="00B25E9D"/>
    <w:rsid w:val="00B27B81"/>
    <w:rsid w:val="00B31449"/>
    <w:rsid w:val="00B317D5"/>
    <w:rsid w:val="00B326CD"/>
    <w:rsid w:val="00B32EAA"/>
    <w:rsid w:val="00B330DB"/>
    <w:rsid w:val="00B334A0"/>
    <w:rsid w:val="00B35CB9"/>
    <w:rsid w:val="00B35FE2"/>
    <w:rsid w:val="00B36182"/>
    <w:rsid w:val="00B362FC"/>
    <w:rsid w:val="00B3694B"/>
    <w:rsid w:val="00B36BCC"/>
    <w:rsid w:val="00B37395"/>
    <w:rsid w:val="00B37C78"/>
    <w:rsid w:val="00B37F55"/>
    <w:rsid w:val="00B406B4"/>
    <w:rsid w:val="00B41A60"/>
    <w:rsid w:val="00B41CC5"/>
    <w:rsid w:val="00B41D20"/>
    <w:rsid w:val="00B41F21"/>
    <w:rsid w:val="00B42777"/>
    <w:rsid w:val="00B42CA4"/>
    <w:rsid w:val="00B44966"/>
    <w:rsid w:val="00B44F4F"/>
    <w:rsid w:val="00B457F5"/>
    <w:rsid w:val="00B45837"/>
    <w:rsid w:val="00B4683A"/>
    <w:rsid w:val="00B46DD7"/>
    <w:rsid w:val="00B473E2"/>
    <w:rsid w:val="00B47A16"/>
    <w:rsid w:val="00B47CC2"/>
    <w:rsid w:val="00B50BEF"/>
    <w:rsid w:val="00B513B3"/>
    <w:rsid w:val="00B519AF"/>
    <w:rsid w:val="00B52D33"/>
    <w:rsid w:val="00B52DD3"/>
    <w:rsid w:val="00B53B36"/>
    <w:rsid w:val="00B53F1E"/>
    <w:rsid w:val="00B54AD3"/>
    <w:rsid w:val="00B55067"/>
    <w:rsid w:val="00B56143"/>
    <w:rsid w:val="00B56A1E"/>
    <w:rsid w:val="00B56E95"/>
    <w:rsid w:val="00B57A0B"/>
    <w:rsid w:val="00B611D6"/>
    <w:rsid w:val="00B61E61"/>
    <w:rsid w:val="00B6273C"/>
    <w:rsid w:val="00B6466A"/>
    <w:rsid w:val="00B64DCD"/>
    <w:rsid w:val="00B658E0"/>
    <w:rsid w:val="00B67B68"/>
    <w:rsid w:val="00B704FA"/>
    <w:rsid w:val="00B72423"/>
    <w:rsid w:val="00B73150"/>
    <w:rsid w:val="00B7324D"/>
    <w:rsid w:val="00B73DC8"/>
    <w:rsid w:val="00B7563B"/>
    <w:rsid w:val="00B761D0"/>
    <w:rsid w:val="00B76A65"/>
    <w:rsid w:val="00B80101"/>
    <w:rsid w:val="00B831BB"/>
    <w:rsid w:val="00B83C2E"/>
    <w:rsid w:val="00B84AC3"/>
    <w:rsid w:val="00B85F2E"/>
    <w:rsid w:val="00B8602A"/>
    <w:rsid w:val="00B8718D"/>
    <w:rsid w:val="00B87465"/>
    <w:rsid w:val="00B90124"/>
    <w:rsid w:val="00B9027C"/>
    <w:rsid w:val="00B90306"/>
    <w:rsid w:val="00B90C23"/>
    <w:rsid w:val="00B911C3"/>
    <w:rsid w:val="00B921C5"/>
    <w:rsid w:val="00B92A72"/>
    <w:rsid w:val="00B93066"/>
    <w:rsid w:val="00B937EC"/>
    <w:rsid w:val="00B94966"/>
    <w:rsid w:val="00B94C32"/>
    <w:rsid w:val="00B94E76"/>
    <w:rsid w:val="00B9696B"/>
    <w:rsid w:val="00BA00E6"/>
    <w:rsid w:val="00BA09A8"/>
    <w:rsid w:val="00BA181F"/>
    <w:rsid w:val="00BA2ED9"/>
    <w:rsid w:val="00BA495C"/>
    <w:rsid w:val="00BA4BAA"/>
    <w:rsid w:val="00BA65DF"/>
    <w:rsid w:val="00BA7247"/>
    <w:rsid w:val="00BA7558"/>
    <w:rsid w:val="00BA7993"/>
    <w:rsid w:val="00BA7D72"/>
    <w:rsid w:val="00BB1877"/>
    <w:rsid w:val="00BB2CC9"/>
    <w:rsid w:val="00BB3558"/>
    <w:rsid w:val="00BB3683"/>
    <w:rsid w:val="00BB41A9"/>
    <w:rsid w:val="00BB5066"/>
    <w:rsid w:val="00BB5E8E"/>
    <w:rsid w:val="00BB5FC1"/>
    <w:rsid w:val="00BB6E2B"/>
    <w:rsid w:val="00BB7DC9"/>
    <w:rsid w:val="00BC012D"/>
    <w:rsid w:val="00BC06A9"/>
    <w:rsid w:val="00BC1939"/>
    <w:rsid w:val="00BC3ACB"/>
    <w:rsid w:val="00BC45DF"/>
    <w:rsid w:val="00BC49B8"/>
    <w:rsid w:val="00BC50EE"/>
    <w:rsid w:val="00BC54E9"/>
    <w:rsid w:val="00BC7D68"/>
    <w:rsid w:val="00BC7F6A"/>
    <w:rsid w:val="00BD2C17"/>
    <w:rsid w:val="00BD2C77"/>
    <w:rsid w:val="00BD30AA"/>
    <w:rsid w:val="00BD3219"/>
    <w:rsid w:val="00BD4C38"/>
    <w:rsid w:val="00BD4EA9"/>
    <w:rsid w:val="00BD5301"/>
    <w:rsid w:val="00BD57F0"/>
    <w:rsid w:val="00BD681C"/>
    <w:rsid w:val="00BD739F"/>
    <w:rsid w:val="00BD7722"/>
    <w:rsid w:val="00BD7D32"/>
    <w:rsid w:val="00BE03F7"/>
    <w:rsid w:val="00BE0E54"/>
    <w:rsid w:val="00BE1C45"/>
    <w:rsid w:val="00BE1C6F"/>
    <w:rsid w:val="00BE257E"/>
    <w:rsid w:val="00BE25B5"/>
    <w:rsid w:val="00BE2785"/>
    <w:rsid w:val="00BE2920"/>
    <w:rsid w:val="00BE2FCD"/>
    <w:rsid w:val="00BE4CB8"/>
    <w:rsid w:val="00BE4D33"/>
    <w:rsid w:val="00BE59FE"/>
    <w:rsid w:val="00BE7187"/>
    <w:rsid w:val="00BE724C"/>
    <w:rsid w:val="00BE72EE"/>
    <w:rsid w:val="00BF066E"/>
    <w:rsid w:val="00BF0C85"/>
    <w:rsid w:val="00BF1804"/>
    <w:rsid w:val="00BF21F3"/>
    <w:rsid w:val="00BF25E6"/>
    <w:rsid w:val="00BF3052"/>
    <w:rsid w:val="00BF31BC"/>
    <w:rsid w:val="00BF476B"/>
    <w:rsid w:val="00BF4CA5"/>
    <w:rsid w:val="00BF4DDB"/>
    <w:rsid w:val="00BF5E5D"/>
    <w:rsid w:val="00BF6741"/>
    <w:rsid w:val="00BF67CA"/>
    <w:rsid w:val="00BF6E5A"/>
    <w:rsid w:val="00C00CF5"/>
    <w:rsid w:val="00C00E02"/>
    <w:rsid w:val="00C023E0"/>
    <w:rsid w:val="00C024D0"/>
    <w:rsid w:val="00C02BB2"/>
    <w:rsid w:val="00C030C4"/>
    <w:rsid w:val="00C03FB5"/>
    <w:rsid w:val="00C044B5"/>
    <w:rsid w:val="00C04C21"/>
    <w:rsid w:val="00C065E9"/>
    <w:rsid w:val="00C06D14"/>
    <w:rsid w:val="00C076AB"/>
    <w:rsid w:val="00C10C49"/>
    <w:rsid w:val="00C12B56"/>
    <w:rsid w:val="00C13111"/>
    <w:rsid w:val="00C13468"/>
    <w:rsid w:val="00C14424"/>
    <w:rsid w:val="00C1446D"/>
    <w:rsid w:val="00C15038"/>
    <w:rsid w:val="00C1547D"/>
    <w:rsid w:val="00C1571A"/>
    <w:rsid w:val="00C15C61"/>
    <w:rsid w:val="00C162A4"/>
    <w:rsid w:val="00C165D2"/>
    <w:rsid w:val="00C16AE0"/>
    <w:rsid w:val="00C16C00"/>
    <w:rsid w:val="00C17717"/>
    <w:rsid w:val="00C21582"/>
    <w:rsid w:val="00C21805"/>
    <w:rsid w:val="00C222FB"/>
    <w:rsid w:val="00C22506"/>
    <w:rsid w:val="00C2257E"/>
    <w:rsid w:val="00C226DC"/>
    <w:rsid w:val="00C2373A"/>
    <w:rsid w:val="00C257D8"/>
    <w:rsid w:val="00C263B2"/>
    <w:rsid w:val="00C26986"/>
    <w:rsid w:val="00C26BAD"/>
    <w:rsid w:val="00C27EDD"/>
    <w:rsid w:val="00C3036E"/>
    <w:rsid w:val="00C30765"/>
    <w:rsid w:val="00C31521"/>
    <w:rsid w:val="00C31958"/>
    <w:rsid w:val="00C32922"/>
    <w:rsid w:val="00C32A2D"/>
    <w:rsid w:val="00C32B6F"/>
    <w:rsid w:val="00C35126"/>
    <w:rsid w:val="00C36838"/>
    <w:rsid w:val="00C36C58"/>
    <w:rsid w:val="00C37352"/>
    <w:rsid w:val="00C37DCB"/>
    <w:rsid w:val="00C401D4"/>
    <w:rsid w:val="00C40A50"/>
    <w:rsid w:val="00C40EF2"/>
    <w:rsid w:val="00C411CA"/>
    <w:rsid w:val="00C414D8"/>
    <w:rsid w:val="00C41978"/>
    <w:rsid w:val="00C4215D"/>
    <w:rsid w:val="00C42BE3"/>
    <w:rsid w:val="00C42E7F"/>
    <w:rsid w:val="00C430EA"/>
    <w:rsid w:val="00C467A2"/>
    <w:rsid w:val="00C46C0F"/>
    <w:rsid w:val="00C47E0A"/>
    <w:rsid w:val="00C505F3"/>
    <w:rsid w:val="00C5094E"/>
    <w:rsid w:val="00C50BC7"/>
    <w:rsid w:val="00C50F02"/>
    <w:rsid w:val="00C5223A"/>
    <w:rsid w:val="00C52454"/>
    <w:rsid w:val="00C529F5"/>
    <w:rsid w:val="00C538F9"/>
    <w:rsid w:val="00C5400D"/>
    <w:rsid w:val="00C55826"/>
    <w:rsid w:val="00C55C5E"/>
    <w:rsid w:val="00C57FBB"/>
    <w:rsid w:val="00C60ED3"/>
    <w:rsid w:val="00C618DF"/>
    <w:rsid w:val="00C61E87"/>
    <w:rsid w:val="00C621E7"/>
    <w:rsid w:val="00C635B1"/>
    <w:rsid w:val="00C63DC3"/>
    <w:rsid w:val="00C63F6F"/>
    <w:rsid w:val="00C646C9"/>
    <w:rsid w:val="00C649E5"/>
    <w:rsid w:val="00C64C64"/>
    <w:rsid w:val="00C65993"/>
    <w:rsid w:val="00C65DC4"/>
    <w:rsid w:val="00C664AE"/>
    <w:rsid w:val="00C665E2"/>
    <w:rsid w:val="00C672B7"/>
    <w:rsid w:val="00C70274"/>
    <w:rsid w:val="00C70ABC"/>
    <w:rsid w:val="00C716E3"/>
    <w:rsid w:val="00C717A1"/>
    <w:rsid w:val="00C7294C"/>
    <w:rsid w:val="00C73000"/>
    <w:rsid w:val="00C7342C"/>
    <w:rsid w:val="00C7374E"/>
    <w:rsid w:val="00C73EB3"/>
    <w:rsid w:val="00C7406F"/>
    <w:rsid w:val="00C74621"/>
    <w:rsid w:val="00C74F1F"/>
    <w:rsid w:val="00C77F6E"/>
    <w:rsid w:val="00C8053C"/>
    <w:rsid w:val="00C8133E"/>
    <w:rsid w:val="00C81534"/>
    <w:rsid w:val="00C815FB"/>
    <w:rsid w:val="00C82126"/>
    <w:rsid w:val="00C821DF"/>
    <w:rsid w:val="00C829A9"/>
    <w:rsid w:val="00C82B09"/>
    <w:rsid w:val="00C83191"/>
    <w:rsid w:val="00C83FD5"/>
    <w:rsid w:val="00C84415"/>
    <w:rsid w:val="00C84DE7"/>
    <w:rsid w:val="00C84FC0"/>
    <w:rsid w:val="00C857F8"/>
    <w:rsid w:val="00C87466"/>
    <w:rsid w:val="00C87587"/>
    <w:rsid w:val="00C8777E"/>
    <w:rsid w:val="00C902BF"/>
    <w:rsid w:val="00C90CB8"/>
    <w:rsid w:val="00C91019"/>
    <w:rsid w:val="00C9132F"/>
    <w:rsid w:val="00C9138D"/>
    <w:rsid w:val="00C91495"/>
    <w:rsid w:val="00C91BD3"/>
    <w:rsid w:val="00C91C73"/>
    <w:rsid w:val="00C91F3C"/>
    <w:rsid w:val="00C92647"/>
    <w:rsid w:val="00C926D1"/>
    <w:rsid w:val="00C92D3B"/>
    <w:rsid w:val="00C92E35"/>
    <w:rsid w:val="00C92FBA"/>
    <w:rsid w:val="00C93ED5"/>
    <w:rsid w:val="00C948E2"/>
    <w:rsid w:val="00C949AC"/>
    <w:rsid w:val="00C95EFF"/>
    <w:rsid w:val="00C9638B"/>
    <w:rsid w:val="00CA0A9A"/>
    <w:rsid w:val="00CA165B"/>
    <w:rsid w:val="00CA2FDA"/>
    <w:rsid w:val="00CA488D"/>
    <w:rsid w:val="00CA4D87"/>
    <w:rsid w:val="00CA6CED"/>
    <w:rsid w:val="00CA6E76"/>
    <w:rsid w:val="00CA7E82"/>
    <w:rsid w:val="00CB0686"/>
    <w:rsid w:val="00CB1789"/>
    <w:rsid w:val="00CB4B42"/>
    <w:rsid w:val="00CB5B11"/>
    <w:rsid w:val="00CB71CF"/>
    <w:rsid w:val="00CB7342"/>
    <w:rsid w:val="00CB7907"/>
    <w:rsid w:val="00CC1108"/>
    <w:rsid w:val="00CC12FD"/>
    <w:rsid w:val="00CC1809"/>
    <w:rsid w:val="00CC1DCD"/>
    <w:rsid w:val="00CC28BA"/>
    <w:rsid w:val="00CC2BA7"/>
    <w:rsid w:val="00CC2E0F"/>
    <w:rsid w:val="00CC3500"/>
    <w:rsid w:val="00CC3740"/>
    <w:rsid w:val="00CC4997"/>
    <w:rsid w:val="00CC67C2"/>
    <w:rsid w:val="00CC72A7"/>
    <w:rsid w:val="00CD22DA"/>
    <w:rsid w:val="00CD2AA9"/>
    <w:rsid w:val="00CD4028"/>
    <w:rsid w:val="00CD48E2"/>
    <w:rsid w:val="00CD4D83"/>
    <w:rsid w:val="00CD5CA4"/>
    <w:rsid w:val="00CD62BE"/>
    <w:rsid w:val="00CD70BB"/>
    <w:rsid w:val="00CD75D8"/>
    <w:rsid w:val="00CE0EE2"/>
    <w:rsid w:val="00CE1EEB"/>
    <w:rsid w:val="00CE254D"/>
    <w:rsid w:val="00CE306D"/>
    <w:rsid w:val="00CE352A"/>
    <w:rsid w:val="00CE3653"/>
    <w:rsid w:val="00CE40A2"/>
    <w:rsid w:val="00CE464B"/>
    <w:rsid w:val="00CE4EE3"/>
    <w:rsid w:val="00CE59A2"/>
    <w:rsid w:val="00CE5FB9"/>
    <w:rsid w:val="00CE7348"/>
    <w:rsid w:val="00CE78FA"/>
    <w:rsid w:val="00CE7D0A"/>
    <w:rsid w:val="00CF335B"/>
    <w:rsid w:val="00CF35E0"/>
    <w:rsid w:val="00CF367E"/>
    <w:rsid w:val="00CF45A8"/>
    <w:rsid w:val="00CF4880"/>
    <w:rsid w:val="00CF62AC"/>
    <w:rsid w:val="00CF65CC"/>
    <w:rsid w:val="00CF67DF"/>
    <w:rsid w:val="00CF75CF"/>
    <w:rsid w:val="00CF78AF"/>
    <w:rsid w:val="00CF7AB5"/>
    <w:rsid w:val="00CF7EA0"/>
    <w:rsid w:val="00D00159"/>
    <w:rsid w:val="00D00ABA"/>
    <w:rsid w:val="00D0181A"/>
    <w:rsid w:val="00D02322"/>
    <w:rsid w:val="00D0512B"/>
    <w:rsid w:val="00D0518F"/>
    <w:rsid w:val="00D05848"/>
    <w:rsid w:val="00D05D25"/>
    <w:rsid w:val="00D061D4"/>
    <w:rsid w:val="00D0698B"/>
    <w:rsid w:val="00D06BB7"/>
    <w:rsid w:val="00D07F24"/>
    <w:rsid w:val="00D113B0"/>
    <w:rsid w:val="00D1151A"/>
    <w:rsid w:val="00D116C1"/>
    <w:rsid w:val="00D11FB7"/>
    <w:rsid w:val="00D14070"/>
    <w:rsid w:val="00D14183"/>
    <w:rsid w:val="00D14388"/>
    <w:rsid w:val="00D14583"/>
    <w:rsid w:val="00D1596A"/>
    <w:rsid w:val="00D16F98"/>
    <w:rsid w:val="00D17B5C"/>
    <w:rsid w:val="00D20694"/>
    <w:rsid w:val="00D20C1F"/>
    <w:rsid w:val="00D20C3F"/>
    <w:rsid w:val="00D211AA"/>
    <w:rsid w:val="00D2125B"/>
    <w:rsid w:val="00D2135D"/>
    <w:rsid w:val="00D22CCF"/>
    <w:rsid w:val="00D22F7F"/>
    <w:rsid w:val="00D231A2"/>
    <w:rsid w:val="00D2446F"/>
    <w:rsid w:val="00D24EB2"/>
    <w:rsid w:val="00D251D0"/>
    <w:rsid w:val="00D255E2"/>
    <w:rsid w:val="00D2668B"/>
    <w:rsid w:val="00D3049E"/>
    <w:rsid w:val="00D317D4"/>
    <w:rsid w:val="00D320F3"/>
    <w:rsid w:val="00D325BB"/>
    <w:rsid w:val="00D3310E"/>
    <w:rsid w:val="00D3395D"/>
    <w:rsid w:val="00D34408"/>
    <w:rsid w:val="00D35D5E"/>
    <w:rsid w:val="00D3604F"/>
    <w:rsid w:val="00D36BB9"/>
    <w:rsid w:val="00D36C58"/>
    <w:rsid w:val="00D40372"/>
    <w:rsid w:val="00D404C4"/>
    <w:rsid w:val="00D40F54"/>
    <w:rsid w:val="00D43629"/>
    <w:rsid w:val="00D451E3"/>
    <w:rsid w:val="00D4707C"/>
    <w:rsid w:val="00D473A8"/>
    <w:rsid w:val="00D4786E"/>
    <w:rsid w:val="00D47E48"/>
    <w:rsid w:val="00D50066"/>
    <w:rsid w:val="00D50E4A"/>
    <w:rsid w:val="00D525ED"/>
    <w:rsid w:val="00D5395F"/>
    <w:rsid w:val="00D54665"/>
    <w:rsid w:val="00D559CA"/>
    <w:rsid w:val="00D55EE5"/>
    <w:rsid w:val="00D60BD5"/>
    <w:rsid w:val="00D6101B"/>
    <w:rsid w:val="00D63233"/>
    <w:rsid w:val="00D643A0"/>
    <w:rsid w:val="00D655F5"/>
    <w:rsid w:val="00D6593D"/>
    <w:rsid w:val="00D667FC"/>
    <w:rsid w:val="00D67449"/>
    <w:rsid w:val="00D67816"/>
    <w:rsid w:val="00D67DB5"/>
    <w:rsid w:val="00D705EE"/>
    <w:rsid w:val="00D706F3"/>
    <w:rsid w:val="00D723F3"/>
    <w:rsid w:val="00D7250F"/>
    <w:rsid w:val="00D7274C"/>
    <w:rsid w:val="00D728C6"/>
    <w:rsid w:val="00D72F05"/>
    <w:rsid w:val="00D73C83"/>
    <w:rsid w:val="00D73D92"/>
    <w:rsid w:val="00D7473A"/>
    <w:rsid w:val="00D74C3B"/>
    <w:rsid w:val="00D75202"/>
    <w:rsid w:val="00D765D2"/>
    <w:rsid w:val="00D76F84"/>
    <w:rsid w:val="00D77004"/>
    <w:rsid w:val="00D772C2"/>
    <w:rsid w:val="00D77C7D"/>
    <w:rsid w:val="00D808A8"/>
    <w:rsid w:val="00D8181C"/>
    <w:rsid w:val="00D81F7E"/>
    <w:rsid w:val="00D83174"/>
    <w:rsid w:val="00D8347A"/>
    <w:rsid w:val="00D842D5"/>
    <w:rsid w:val="00D84B4B"/>
    <w:rsid w:val="00D8624F"/>
    <w:rsid w:val="00D86CA7"/>
    <w:rsid w:val="00D8727C"/>
    <w:rsid w:val="00D87405"/>
    <w:rsid w:val="00D90CA7"/>
    <w:rsid w:val="00D91881"/>
    <w:rsid w:val="00D92EE8"/>
    <w:rsid w:val="00D92FAA"/>
    <w:rsid w:val="00D9416A"/>
    <w:rsid w:val="00D94716"/>
    <w:rsid w:val="00D95066"/>
    <w:rsid w:val="00D95337"/>
    <w:rsid w:val="00D965DE"/>
    <w:rsid w:val="00D96F1C"/>
    <w:rsid w:val="00D97134"/>
    <w:rsid w:val="00D9799C"/>
    <w:rsid w:val="00DA0174"/>
    <w:rsid w:val="00DA0372"/>
    <w:rsid w:val="00DA0C60"/>
    <w:rsid w:val="00DA1AC9"/>
    <w:rsid w:val="00DA27C7"/>
    <w:rsid w:val="00DA2CEF"/>
    <w:rsid w:val="00DA3DB0"/>
    <w:rsid w:val="00DA401B"/>
    <w:rsid w:val="00DA4278"/>
    <w:rsid w:val="00DA4340"/>
    <w:rsid w:val="00DA50DA"/>
    <w:rsid w:val="00DA614A"/>
    <w:rsid w:val="00DA68DA"/>
    <w:rsid w:val="00DA7B85"/>
    <w:rsid w:val="00DB0F81"/>
    <w:rsid w:val="00DB105B"/>
    <w:rsid w:val="00DB10CA"/>
    <w:rsid w:val="00DB15AF"/>
    <w:rsid w:val="00DB1A35"/>
    <w:rsid w:val="00DB25BF"/>
    <w:rsid w:val="00DB394A"/>
    <w:rsid w:val="00DB4EA7"/>
    <w:rsid w:val="00DB5CB0"/>
    <w:rsid w:val="00DB6610"/>
    <w:rsid w:val="00DB76FC"/>
    <w:rsid w:val="00DC0BB9"/>
    <w:rsid w:val="00DC13C3"/>
    <w:rsid w:val="00DC14D9"/>
    <w:rsid w:val="00DC15BA"/>
    <w:rsid w:val="00DC19D6"/>
    <w:rsid w:val="00DC2204"/>
    <w:rsid w:val="00DC2DBF"/>
    <w:rsid w:val="00DC2DC9"/>
    <w:rsid w:val="00DC37D8"/>
    <w:rsid w:val="00DC40BA"/>
    <w:rsid w:val="00DC461F"/>
    <w:rsid w:val="00DC4935"/>
    <w:rsid w:val="00DC54AA"/>
    <w:rsid w:val="00DC56F0"/>
    <w:rsid w:val="00DD03B1"/>
    <w:rsid w:val="00DD03BD"/>
    <w:rsid w:val="00DD08BB"/>
    <w:rsid w:val="00DD15DC"/>
    <w:rsid w:val="00DD240E"/>
    <w:rsid w:val="00DD25D1"/>
    <w:rsid w:val="00DD2658"/>
    <w:rsid w:val="00DD489F"/>
    <w:rsid w:val="00DD4FAB"/>
    <w:rsid w:val="00DD504A"/>
    <w:rsid w:val="00DD5658"/>
    <w:rsid w:val="00DD6773"/>
    <w:rsid w:val="00DE01F9"/>
    <w:rsid w:val="00DE0F75"/>
    <w:rsid w:val="00DE14E6"/>
    <w:rsid w:val="00DE1F33"/>
    <w:rsid w:val="00DE383B"/>
    <w:rsid w:val="00DE4D4D"/>
    <w:rsid w:val="00DE58AA"/>
    <w:rsid w:val="00DE5CBB"/>
    <w:rsid w:val="00DE5CCC"/>
    <w:rsid w:val="00DE6E66"/>
    <w:rsid w:val="00DF0A3B"/>
    <w:rsid w:val="00DF31FA"/>
    <w:rsid w:val="00DF3D09"/>
    <w:rsid w:val="00DF4868"/>
    <w:rsid w:val="00DF7067"/>
    <w:rsid w:val="00DF7989"/>
    <w:rsid w:val="00E00143"/>
    <w:rsid w:val="00E011B9"/>
    <w:rsid w:val="00E019AE"/>
    <w:rsid w:val="00E021EC"/>
    <w:rsid w:val="00E025E0"/>
    <w:rsid w:val="00E02E70"/>
    <w:rsid w:val="00E03984"/>
    <w:rsid w:val="00E042B8"/>
    <w:rsid w:val="00E04F3A"/>
    <w:rsid w:val="00E050DF"/>
    <w:rsid w:val="00E05627"/>
    <w:rsid w:val="00E063DA"/>
    <w:rsid w:val="00E06B6F"/>
    <w:rsid w:val="00E06E27"/>
    <w:rsid w:val="00E07236"/>
    <w:rsid w:val="00E07B07"/>
    <w:rsid w:val="00E07F43"/>
    <w:rsid w:val="00E105AF"/>
    <w:rsid w:val="00E1108B"/>
    <w:rsid w:val="00E11340"/>
    <w:rsid w:val="00E11405"/>
    <w:rsid w:val="00E12A93"/>
    <w:rsid w:val="00E140C7"/>
    <w:rsid w:val="00E14954"/>
    <w:rsid w:val="00E149D1"/>
    <w:rsid w:val="00E14CCE"/>
    <w:rsid w:val="00E14F51"/>
    <w:rsid w:val="00E1575C"/>
    <w:rsid w:val="00E16AE7"/>
    <w:rsid w:val="00E1740C"/>
    <w:rsid w:val="00E17B6B"/>
    <w:rsid w:val="00E21654"/>
    <w:rsid w:val="00E219B0"/>
    <w:rsid w:val="00E21C3C"/>
    <w:rsid w:val="00E21DE3"/>
    <w:rsid w:val="00E22402"/>
    <w:rsid w:val="00E22B72"/>
    <w:rsid w:val="00E23369"/>
    <w:rsid w:val="00E23B43"/>
    <w:rsid w:val="00E24379"/>
    <w:rsid w:val="00E24411"/>
    <w:rsid w:val="00E24BC8"/>
    <w:rsid w:val="00E24D6B"/>
    <w:rsid w:val="00E26D05"/>
    <w:rsid w:val="00E26FE7"/>
    <w:rsid w:val="00E2749C"/>
    <w:rsid w:val="00E2780B"/>
    <w:rsid w:val="00E302E3"/>
    <w:rsid w:val="00E30C79"/>
    <w:rsid w:val="00E33547"/>
    <w:rsid w:val="00E33795"/>
    <w:rsid w:val="00E3418F"/>
    <w:rsid w:val="00E3462E"/>
    <w:rsid w:val="00E346C0"/>
    <w:rsid w:val="00E355E0"/>
    <w:rsid w:val="00E36619"/>
    <w:rsid w:val="00E3666B"/>
    <w:rsid w:val="00E36FD0"/>
    <w:rsid w:val="00E370B4"/>
    <w:rsid w:val="00E378C1"/>
    <w:rsid w:val="00E402F6"/>
    <w:rsid w:val="00E4064F"/>
    <w:rsid w:val="00E407A8"/>
    <w:rsid w:val="00E40A15"/>
    <w:rsid w:val="00E41009"/>
    <w:rsid w:val="00E4119A"/>
    <w:rsid w:val="00E41277"/>
    <w:rsid w:val="00E41472"/>
    <w:rsid w:val="00E41C29"/>
    <w:rsid w:val="00E41D19"/>
    <w:rsid w:val="00E42F16"/>
    <w:rsid w:val="00E42F6E"/>
    <w:rsid w:val="00E4343B"/>
    <w:rsid w:val="00E436A8"/>
    <w:rsid w:val="00E43DF5"/>
    <w:rsid w:val="00E44DD7"/>
    <w:rsid w:val="00E44E3E"/>
    <w:rsid w:val="00E44FA0"/>
    <w:rsid w:val="00E45009"/>
    <w:rsid w:val="00E4542A"/>
    <w:rsid w:val="00E45601"/>
    <w:rsid w:val="00E45D33"/>
    <w:rsid w:val="00E464CB"/>
    <w:rsid w:val="00E475D7"/>
    <w:rsid w:val="00E476DB"/>
    <w:rsid w:val="00E47786"/>
    <w:rsid w:val="00E5012C"/>
    <w:rsid w:val="00E50BA3"/>
    <w:rsid w:val="00E50EDD"/>
    <w:rsid w:val="00E5132F"/>
    <w:rsid w:val="00E516A3"/>
    <w:rsid w:val="00E5288A"/>
    <w:rsid w:val="00E52D76"/>
    <w:rsid w:val="00E535C2"/>
    <w:rsid w:val="00E54EC8"/>
    <w:rsid w:val="00E550C7"/>
    <w:rsid w:val="00E553FF"/>
    <w:rsid w:val="00E55E82"/>
    <w:rsid w:val="00E579B9"/>
    <w:rsid w:val="00E602ED"/>
    <w:rsid w:val="00E623E2"/>
    <w:rsid w:val="00E63141"/>
    <w:rsid w:val="00E64B21"/>
    <w:rsid w:val="00E65421"/>
    <w:rsid w:val="00E658AF"/>
    <w:rsid w:val="00E67791"/>
    <w:rsid w:val="00E70292"/>
    <w:rsid w:val="00E70473"/>
    <w:rsid w:val="00E72277"/>
    <w:rsid w:val="00E72DAF"/>
    <w:rsid w:val="00E735CB"/>
    <w:rsid w:val="00E74AA1"/>
    <w:rsid w:val="00E74DB3"/>
    <w:rsid w:val="00E74E14"/>
    <w:rsid w:val="00E74FBC"/>
    <w:rsid w:val="00E7620D"/>
    <w:rsid w:val="00E77967"/>
    <w:rsid w:val="00E807D4"/>
    <w:rsid w:val="00E819AA"/>
    <w:rsid w:val="00E81DB4"/>
    <w:rsid w:val="00E82F20"/>
    <w:rsid w:val="00E835D0"/>
    <w:rsid w:val="00E83753"/>
    <w:rsid w:val="00E841E2"/>
    <w:rsid w:val="00E8477B"/>
    <w:rsid w:val="00E860CE"/>
    <w:rsid w:val="00E87432"/>
    <w:rsid w:val="00E9018F"/>
    <w:rsid w:val="00E90D33"/>
    <w:rsid w:val="00E90D4F"/>
    <w:rsid w:val="00E90F3A"/>
    <w:rsid w:val="00E92934"/>
    <w:rsid w:val="00E92C1A"/>
    <w:rsid w:val="00E94FD4"/>
    <w:rsid w:val="00E96424"/>
    <w:rsid w:val="00E9651E"/>
    <w:rsid w:val="00E965BF"/>
    <w:rsid w:val="00E96FFB"/>
    <w:rsid w:val="00E97B42"/>
    <w:rsid w:val="00EA0145"/>
    <w:rsid w:val="00EA1941"/>
    <w:rsid w:val="00EA448D"/>
    <w:rsid w:val="00EA4A00"/>
    <w:rsid w:val="00EA4AC1"/>
    <w:rsid w:val="00EA53F2"/>
    <w:rsid w:val="00EA5486"/>
    <w:rsid w:val="00EA5D99"/>
    <w:rsid w:val="00EA62A3"/>
    <w:rsid w:val="00EA6B6F"/>
    <w:rsid w:val="00EA7209"/>
    <w:rsid w:val="00EA75F3"/>
    <w:rsid w:val="00EA7DA3"/>
    <w:rsid w:val="00EB03A2"/>
    <w:rsid w:val="00EB1CA6"/>
    <w:rsid w:val="00EB202E"/>
    <w:rsid w:val="00EB29CC"/>
    <w:rsid w:val="00EB3BCD"/>
    <w:rsid w:val="00EB3FAC"/>
    <w:rsid w:val="00EB3FEC"/>
    <w:rsid w:val="00EB44F7"/>
    <w:rsid w:val="00EB60F2"/>
    <w:rsid w:val="00EB76F7"/>
    <w:rsid w:val="00EB7BCA"/>
    <w:rsid w:val="00EC0543"/>
    <w:rsid w:val="00EC129B"/>
    <w:rsid w:val="00EC1FBB"/>
    <w:rsid w:val="00EC2157"/>
    <w:rsid w:val="00EC230D"/>
    <w:rsid w:val="00EC29D2"/>
    <w:rsid w:val="00EC2F2E"/>
    <w:rsid w:val="00EC3661"/>
    <w:rsid w:val="00EC3A6A"/>
    <w:rsid w:val="00EC4D11"/>
    <w:rsid w:val="00EC53CE"/>
    <w:rsid w:val="00EC5CB8"/>
    <w:rsid w:val="00EC78E5"/>
    <w:rsid w:val="00ED03FC"/>
    <w:rsid w:val="00ED08F8"/>
    <w:rsid w:val="00ED0980"/>
    <w:rsid w:val="00ED1368"/>
    <w:rsid w:val="00ED24EB"/>
    <w:rsid w:val="00ED2736"/>
    <w:rsid w:val="00ED284B"/>
    <w:rsid w:val="00ED3053"/>
    <w:rsid w:val="00ED5111"/>
    <w:rsid w:val="00ED5C1B"/>
    <w:rsid w:val="00ED5FC3"/>
    <w:rsid w:val="00ED6013"/>
    <w:rsid w:val="00ED6E3C"/>
    <w:rsid w:val="00ED73CE"/>
    <w:rsid w:val="00ED7466"/>
    <w:rsid w:val="00ED78CC"/>
    <w:rsid w:val="00ED7C8D"/>
    <w:rsid w:val="00ED7E5B"/>
    <w:rsid w:val="00EE12F8"/>
    <w:rsid w:val="00EE26C2"/>
    <w:rsid w:val="00EE33BA"/>
    <w:rsid w:val="00EE3BF5"/>
    <w:rsid w:val="00EE3DBC"/>
    <w:rsid w:val="00EE50EB"/>
    <w:rsid w:val="00EE5B45"/>
    <w:rsid w:val="00EE5D74"/>
    <w:rsid w:val="00EE603C"/>
    <w:rsid w:val="00EE6163"/>
    <w:rsid w:val="00EE66F1"/>
    <w:rsid w:val="00EE6D37"/>
    <w:rsid w:val="00EF1D91"/>
    <w:rsid w:val="00EF3F9A"/>
    <w:rsid w:val="00EF405F"/>
    <w:rsid w:val="00EF44F2"/>
    <w:rsid w:val="00EF48E4"/>
    <w:rsid w:val="00EF55B9"/>
    <w:rsid w:val="00EF564F"/>
    <w:rsid w:val="00EF581D"/>
    <w:rsid w:val="00EF5838"/>
    <w:rsid w:val="00EF6A30"/>
    <w:rsid w:val="00EF74EA"/>
    <w:rsid w:val="00EF76A5"/>
    <w:rsid w:val="00F00739"/>
    <w:rsid w:val="00F00E65"/>
    <w:rsid w:val="00F0155E"/>
    <w:rsid w:val="00F01D09"/>
    <w:rsid w:val="00F02C41"/>
    <w:rsid w:val="00F02E25"/>
    <w:rsid w:val="00F03B99"/>
    <w:rsid w:val="00F03CC2"/>
    <w:rsid w:val="00F0539A"/>
    <w:rsid w:val="00F05C54"/>
    <w:rsid w:val="00F069A6"/>
    <w:rsid w:val="00F1093A"/>
    <w:rsid w:val="00F11068"/>
    <w:rsid w:val="00F1185D"/>
    <w:rsid w:val="00F1317E"/>
    <w:rsid w:val="00F13FED"/>
    <w:rsid w:val="00F14D2F"/>
    <w:rsid w:val="00F155BC"/>
    <w:rsid w:val="00F168A2"/>
    <w:rsid w:val="00F21193"/>
    <w:rsid w:val="00F213B1"/>
    <w:rsid w:val="00F217B5"/>
    <w:rsid w:val="00F2203D"/>
    <w:rsid w:val="00F221D5"/>
    <w:rsid w:val="00F23B8F"/>
    <w:rsid w:val="00F24412"/>
    <w:rsid w:val="00F271C2"/>
    <w:rsid w:val="00F275B4"/>
    <w:rsid w:val="00F27E29"/>
    <w:rsid w:val="00F30009"/>
    <w:rsid w:val="00F309E2"/>
    <w:rsid w:val="00F3289B"/>
    <w:rsid w:val="00F33034"/>
    <w:rsid w:val="00F3332A"/>
    <w:rsid w:val="00F3377F"/>
    <w:rsid w:val="00F34DFC"/>
    <w:rsid w:val="00F35140"/>
    <w:rsid w:val="00F414E7"/>
    <w:rsid w:val="00F42705"/>
    <w:rsid w:val="00F43037"/>
    <w:rsid w:val="00F442AF"/>
    <w:rsid w:val="00F450CE"/>
    <w:rsid w:val="00F460B8"/>
    <w:rsid w:val="00F47D14"/>
    <w:rsid w:val="00F502D3"/>
    <w:rsid w:val="00F5134E"/>
    <w:rsid w:val="00F516EE"/>
    <w:rsid w:val="00F51E48"/>
    <w:rsid w:val="00F52061"/>
    <w:rsid w:val="00F52C02"/>
    <w:rsid w:val="00F53984"/>
    <w:rsid w:val="00F5501A"/>
    <w:rsid w:val="00F56858"/>
    <w:rsid w:val="00F616EC"/>
    <w:rsid w:val="00F627C0"/>
    <w:rsid w:val="00F62AA3"/>
    <w:rsid w:val="00F63FDA"/>
    <w:rsid w:val="00F65B7D"/>
    <w:rsid w:val="00F66324"/>
    <w:rsid w:val="00F67375"/>
    <w:rsid w:val="00F71916"/>
    <w:rsid w:val="00F727FA"/>
    <w:rsid w:val="00F72B39"/>
    <w:rsid w:val="00F73D65"/>
    <w:rsid w:val="00F74C6A"/>
    <w:rsid w:val="00F75845"/>
    <w:rsid w:val="00F76609"/>
    <w:rsid w:val="00F77530"/>
    <w:rsid w:val="00F7767A"/>
    <w:rsid w:val="00F80667"/>
    <w:rsid w:val="00F80E1E"/>
    <w:rsid w:val="00F81590"/>
    <w:rsid w:val="00F82314"/>
    <w:rsid w:val="00F833B8"/>
    <w:rsid w:val="00F837B9"/>
    <w:rsid w:val="00F83EC8"/>
    <w:rsid w:val="00F84D1B"/>
    <w:rsid w:val="00F84F8F"/>
    <w:rsid w:val="00F8652B"/>
    <w:rsid w:val="00F86F91"/>
    <w:rsid w:val="00F90BDF"/>
    <w:rsid w:val="00F9113A"/>
    <w:rsid w:val="00F91458"/>
    <w:rsid w:val="00F9282E"/>
    <w:rsid w:val="00F93102"/>
    <w:rsid w:val="00F93D8A"/>
    <w:rsid w:val="00F93E01"/>
    <w:rsid w:val="00F94285"/>
    <w:rsid w:val="00F944D3"/>
    <w:rsid w:val="00F9744F"/>
    <w:rsid w:val="00F97BDD"/>
    <w:rsid w:val="00FA03E6"/>
    <w:rsid w:val="00FA0EDC"/>
    <w:rsid w:val="00FA14A1"/>
    <w:rsid w:val="00FA2746"/>
    <w:rsid w:val="00FA2970"/>
    <w:rsid w:val="00FA32D4"/>
    <w:rsid w:val="00FA3702"/>
    <w:rsid w:val="00FA4A77"/>
    <w:rsid w:val="00FA4B5E"/>
    <w:rsid w:val="00FA4BCD"/>
    <w:rsid w:val="00FA6441"/>
    <w:rsid w:val="00FA652B"/>
    <w:rsid w:val="00FA73A8"/>
    <w:rsid w:val="00FA7614"/>
    <w:rsid w:val="00FB0B28"/>
    <w:rsid w:val="00FB0EB2"/>
    <w:rsid w:val="00FB205B"/>
    <w:rsid w:val="00FB3253"/>
    <w:rsid w:val="00FB3F7C"/>
    <w:rsid w:val="00FB4286"/>
    <w:rsid w:val="00FB5335"/>
    <w:rsid w:val="00FB5454"/>
    <w:rsid w:val="00FB57A5"/>
    <w:rsid w:val="00FB73F2"/>
    <w:rsid w:val="00FB774A"/>
    <w:rsid w:val="00FB7CB1"/>
    <w:rsid w:val="00FC18AC"/>
    <w:rsid w:val="00FC286C"/>
    <w:rsid w:val="00FC343F"/>
    <w:rsid w:val="00FC358F"/>
    <w:rsid w:val="00FC3697"/>
    <w:rsid w:val="00FC3FA0"/>
    <w:rsid w:val="00FC4166"/>
    <w:rsid w:val="00FC46C4"/>
    <w:rsid w:val="00FC54AF"/>
    <w:rsid w:val="00FC6030"/>
    <w:rsid w:val="00FC76AB"/>
    <w:rsid w:val="00FC7DDE"/>
    <w:rsid w:val="00FD018D"/>
    <w:rsid w:val="00FD0295"/>
    <w:rsid w:val="00FD0D96"/>
    <w:rsid w:val="00FD1840"/>
    <w:rsid w:val="00FD1C6F"/>
    <w:rsid w:val="00FD1E83"/>
    <w:rsid w:val="00FD2841"/>
    <w:rsid w:val="00FD3C18"/>
    <w:rsid w:val="00FD422E"/>
    <w:rsid w:val="00FD499D"/>
    <w:rsid w:val="00FD57AD"/>
    <w:rsid w:val="00FD69E7"/>
    <w:rsid w:val="00FD7D20"/>
    <w:rsid w:val="00FE0291"/>
    <w:rsid w:val="00FE046A"/>
    <w:rsid w:val="00FE0DF3"/>
    <w:rsid w:val="00FE10AF"/>
    <w:rsid w:val="00FE1157"/>
    <w:rsid w:val="00FE125A"/>
    <w:rsid w:val="00FE136C"/>
    <w:rsid w:val="00FE1FF9"/>
    <w:rsid w:val="00FE2978"/>
    <w:rsid w:val="00FE2B10"/>
    <w:rsid w:val="00FE402A"/>
    <w:rsid w:val="00FE4078"/>
    <w:rsid w:val="00FE4A01"/>
    <w:rsid w:val="00FE622C"/>
    <w:rsid w:val="00FE635F"/>
    <w:rsid w:val="00FE6D39"/>
    <w:rsid w:val="00FE7344"/>
    <w:rsid w:val="00FE7453"/>
    <w:rsid w:val="00FE7D80"/>
    <w:rsid w:val="00FE7E7A"/>
    <w:rsid w:val="00FF085F"/>
    <w:rsid w:val="00FF1BA7"/>
    <w:rsid w:val="00FF3ADA"/>
    <w:rsid w:val="00FF4579"/>
    <w:rsid w:val="00FF50C6"/>
    <w:rsid w:val="00FF51D5"/>
    <w:rsid w:val="00FF582C"/>
    <w:rsid w:val="00FF5B7B"/>
    <w:rsid w:val="00FF6B17"/>
    <w:rsid w:val="00FF7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9553"/>
    <o:shapelayout v:ext="edit">
      <o:idmap v:ext="edit" data="1"/>
    </o:shapelayout>
  </w:shapeDefaults>
  <w:decimalSymbol w:val="."/>
  <w:listSeparator w:val=","/>
  <w14:docId w14:val="33C3360E"/>
  <w15:docId w15:val="{3D016E78-C5A0-41B5-82B4-FB21B134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7F01"/>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semiHidden/>
    <w:pPr>
      <w:tabs>
        <w:tab w:val="center" w:pos="4680"/>
        <w:tab w:val="right" w:pos="9360"/>
      </w:tabs>
    </w:pPr>
    <w:rPr>
      <w:rFonts w:eastAsia="Calibri"/>
      <w:sz w:val="20"/>
      <w:szCs w:val="20"/>
      <w:lang w:val="en-US"/>
    </w:rPr>
  </w:style>
  <w:style w:type="character" w:customStyle="1" w:styleId="HeaderChar">
    <w:name w:val="Header Char"/>
    <w:semiHidden/>
    <w:locked/>
    <w:rPr>
      <w:rFonts w:cs="Times New Roman"/>
      <w:lang w:val="en-US" w:eastAsia="en-US"/>
    </w:rPr>
  </w:style>
  <w:style w:type="paragraph" w:styleId="Footer">
    <w:name w:val="footer"/>
    <w:basedOn w:val="Normal"/>
    <w:uiPriority w:val="99"/>
    <w:pPr>
      <w:tabs>
        <w:tab w:val="center" w:pos="4680"/>
        <w:tab w:val="right" w:pos="9360"/>
      </w:tabs>
    </w:pPr>
    <w:rPr>
      <w:rFonts w:eastAsia="Calibri"/>
      <w:sz w:val="20"/>
      <w:szCs w:val="20"/>
      <w:lang w:val="en-US"/>
    </w:rPr>
  </w:style>
  <w:style w:type="character" w:customStyle="1" w:styleId="FooterChar">
    <w:name w:val="Footer Char"/>
    <w:uiPriority w:val="99"/>
    <w:locked/>
    <w:rPr>
      <w:rFonts w:cs="Times New Roman"/>
      <w:lang w:val="en-US" w:eastAsia="en-US"/>
    </w:rPr>
  </w:style>
  <w:style w:type="paragraph" w:styleId="BalloonText">
    <w:name w:val="Balloon Text"/>
    <w:basedOn w:val="Normal"/>
    <w:pPr>
      <w:spacing w:after="0" w:line="240" w:lineRule="auto"/>
    </w:pPr>
    <w:rPr>
      <w:rFonts w:ascii="Tahoma" w:hAnsi="Tahoma"/>
      <w:sz w:val="16"/>
      <w:szCs w:val="16"/>
      <w:lang w:val="en-US"/>
    </w:rPr>
  </w:style>
  <w:style w:type="character" w:customStyle="1" w:styleId="BalloonTextChar">
    <w:name w:val="Balloon Text Char"/>
    <w:rPr>
      <w:rFonts w:ascii="Tahoma" w:eastAsia="Times New Roman" w:hAnsi="Tahoma" w:cs="Tahoma"/>
      <w:sz w:val="16"/>
      <w:szCs w:val="16"/>
      <w:lang w:val="en-US" w:eastAsia="en-US"/>
    </w:rPr>
  </w:style>
  <w:style w:type="character" w:styleId="CommentReference">
    <w:name w:val="annotation reference"/>
    <w:uiPriority w:val="99"/>
    <w:semiHidden/>
    <w:rPr>
      <w:sz w:val="16"/>
      <w:szCs w:val="16"/>
    </w:rPr>
  </w:style>
  <w:style w:type="paragraph" w:styleId="CommentText">
    <w:name w:val="annotation text"/>
    <w:basedOn w:val="Normal"/>
    <w:semiHidden/>
    <w:rPr>
      <w:sz w:val="20"/>
      <w:szCs w:val="20"/>
      <w:lang w:val="x-none"/>
    </w:rPr>
  </w:style>
  <w:style w:type="character" w:customStyle="1" w:styleId="CommentTextChar">
    <w:name w:val="Comment Text Char"/>
    <w:rPr>
      <w:rFonts w:eastAsia="Times New Roman"/>
      <w:lang w:eastAsia="en-US"/>
    </w:rPr>
  </w:style>
  <w:style w:type="paragraph" w:styleId="CommentSubject">
    <w:name w:val="annotation subject"/>
    <w:basedOn w:val="CommentText"/>
    <w:next w:val="CommentText"/>
    <w:rPr>
      <w:b/>
      <w:bCs/>
    </w:rPr>
  </w:style>
  <w:style w:type="character" w:customStyle="1" w:styleId="CommentSubjectChar">
    <w:name w:val="Comment Subject Char"/>
    <w:rPr>
      <w:rFonts w:eastAsia="Times New Roman"/>
      <w:b/>
      <w:bCs/>
      <w:lang w:eastAsia="en-US"/>
    </w:rPr>
  </w:style>
  <w:style w:type="paragraph" w:styleId="NoSpacing">
    <w:name w:val="No Spacing"/>
    <w:uiPriority w:val="1"/>
    <w:qFormat/>
    <w:rPr>
      <w:rFonts w:eastAsia="Times New Roman"/>
      <w:sz w:val="22"/>
      <w:szCs w:val="22"/>
      <w:lang w:eastAsia="en-US"/>
    </w:rPr>
  </w:style>
  <w:style w:type="paragraph" w:styleId="PlainText">
    <w:name w:val="Plain Text"/>
    <w:basedOn w:val="Normal"/>
    <w:uiPriority w:val="99"/>
    <w:unhideWhenUsed/>
    <w:pPr>
      <w:spacing w:after="0" w:line="240" w:lineRule="auto"/>
    </w:pPr>
    <w:rPr>
      <w:rFonts w:ascii="Tahoma" w:eastAsia="Calibri" w:hAnsi="Tahoma" w:cs="Tahoma"/>
      <w:sz w:val="20"/>
      <w:szCs w:val="20"/>
    </w:rPr>
  </w:style>
  <w:style w:type="character" w:customStyle="1" w:styleId="PlainTextChar">
    <w:name w:val="Plain Text Char"/>
    <w:uiPriority w:val="99"/>
    <w:rPr>
      <w:rFonts w:ascii="Tahoma" w:hAnsi="Tahoma" w:cs="Tahoma"/>
      <w:lang w:eastAsia="en-US"/>
    </w:rPr>
  </w:style>
  <w:style w:type="table" w:styleId="TableGrid">
    <w:name w:val="Table Grid"/>
    <w:basedOn w:val="TableNormal"/>
    <w:uiPriority w:val="59"/>
    <w:rsid w:val="00583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01B5"/>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1048">
      <w:bodyDiv w:val="1"/>
      <w:marLeft w:val="0"/>
      <w:marRight w:val="0"/>
      <w:marTop w:val="0"/>
      <w:marBottom w:val="0"/>
      <w:divBdr>
        <w:top w:val="none" w:sz="0" w:space="0" w:color="auto"/>
        <w:left w:val="none" w:sz="0" w:space="0" w:color="auto"/>
        <w:bottom w:val="none" w:sz="0" w:space="0" w:color="auto"/>
        <w:right w:val="none" w:sz="0" w:space="0" w:color="auto"/>
      </w:divBdr>
    </w:div>
    <w:div w:id="34164227">
      <w:bodyDiv w:val="1"/>
      <w:marLeft w:val="0"/>
      <w:marRight w:val="0"/>
      <w:marTop w:val="0"/>
      <w:marBottom w:val="0"/>
      <w:divBdr>
        <w:top w:val="none" w:sz="0" w:space="0" w:color="auto"/>
        <w:left w:val="none" w:sz="0" w:space="0" w:color="auto"/>
        <w:bottom w:val="none" w:sz="0" w:space="0" w:color="auto"/>
        <w:right w:val="none" w:sz="0" w:space="0" w:color="auto"/>
      </w:divBdr>
    </w:div>
    <w:div w:id="50348458">
      <w:bodyDiv w:val="1"/>
      <w:marLeft w:val="0"/>
      <w:marRight w:val="0"/>
      <w:marTop w:val="0"/>
      <w:marBottom w:val="0"/>
      <w:divBdr>
        <w:top w:val="none" w:sz="0" w:space="0" w:color="auto"/>
        <w:left w:val="none" w:sz="0" w:space="0" w:color="auto"/>
        <w:bottom w:val="none" w:sz="0" w:space="0" w:color="auto"/>
        <w:right w:val="none" w:sz="0" w:space="0" w:color="auto"/>
      </w:divBdr>
    </w:div>
    <w:div w:id="64185187">
      <w:bodyDiv w:val="1"/>
      <w:marLeft w:val="0"/>
      <w:marRight w:val="0"/>
      <w:marTop w:val="0"/>
      <w:marBottom w:val="0"/>
      <w:divBdr>
        <w:top w:val="none" w:sz="0" w:space="0" w:color="auto"/>
        <w:left w:val="none" w:sz="0" w:space="0" w:color="auto"/>
        <w:bottom w:val="none" w:sz="0" w:space="0" w:color="auto"/>
        <w:right w:val="none" w:sz="0" w:space="0" w:color="auto"/>
      </w:divBdr>
    </w:div>
    <w:div w:id="92482120">
      <w:bodyDiv w:val="1"/>
      <w:marLeft w:val="0"/>
      <w:marRight w:val="0"/>
      <w:marTop w:val="0"/>
      <w:marBottom w:val="0"/>
      <w:divBdr>
        <w:top w:val="none" w:sz="0" w:space="0" w:color="auto"/>
        <w:left w:val="none" w:sz="0" w:space="0" w:color="auto"/>
        <w:bottom w:val="none" w:sz="0" w:space="0" w:color="auto"/>
        <w:right w:val="none" w:sz="0" w:space="0" w:color="auto"/>
      </w:divBdr>
    </w:div>
    <w:div w:id="101416268">
      <w:bodyDiv w:val="1"/>
      <w:marLeft w:val="0"/>
      <w:marRight w:val="0"/>
      <w:marTop w:val="0"/>
      <w:marBottom w:val="0"/>
      <w:divBdr>
        <w:top w:val="none" w:sz="0" w:space="0" w:color="auto"/>
        <w:left w:val="none" w:sz="0" w:space="0" w:color="auto"/>
        <w:bottom w:val="none" w:sz="0" w:space="0" w:color="auto"/>
        <w:right w:val="none" w:sz="0" w:space="0" w:color="auto"/>
      </w:divBdr>
    </w:div>
    <w:div w:id="102382646">
      <w:bodyDiv w:val="1"/>
      <w:marLeft w:val="0"/>
      <w:marRight w:val="0"/>
      <w:marTop w:val="0"/>
      <w:marBottom w:val="0"/>
      <w:divBdr>
        <w:top w:val="none" w:sz="0" w:space="0" w:color="auto"/>
        <w:left w:val="none" w:sz="0" w:space="0" w:color="auto"/>
        <w:bottom w:val="none" w:sz="0" w:space="0" w:color="auto"/>
        <w:right w:val="none" w:sz="0" w:space="0" w:color="auto"/>
      </w:divBdr>
    </w:div>
    <w:div w:id="150097416">
      <w:bodyDiv w:val="1"/>
      <w:marLeft w:val="0"/>
      <w:marRight w:val="0"/>
      <w:marTop w:val="0"/>
      <w:marBottom w:val="0"/>
      <w:divBdr>
        <w:top w:val="none" w:sz="0" w:space="0" w:color="auto"/>
        <w:left w:val="none" w:sz="0" w:space="0" w:color="auto"/>
        <w:bottom w:val="none" w:sz="0" w:space="0" w:color="auto"/>
        <w:right w:val="none" w:sz="0" w:space="0" w:color="auto"/>
      </w:divBdr>
    </w:div>
    <w:div w:id="217323598">
      <w:bodyDiv w:val="1"/>
      <w:marLeft w:val="0"/>
      <w:marRight w:val="0"/>
      <w:marTop w:val="0"/>
      <w:marBottom w:val="0"/>
      <w:divBdr>
        <w:top w:val="none" w:sz="0" w:space="0" w:color="auto"/>
        <w:left w:val="none" w:sz="0" w:space="0" w:color="auto"/>
        <w:bottom w:val="none" w:sz="0" w:space="0" w:color="auto"/>
        <w:right w:val="none" w:sz="0" w:space="0" w:color="auto"/>
      </w:divBdr>
    </w:div>
    <w:div w:id="240531262">
      <w:bodyDiv w:val="1"/>
      <w:marLeft w:val="0"/>
      <w:marRight w:val="0"/>
      <w:marTop w:val="0"/>
      <w:marBottom w:val="0"/>
      <w:divBdr>
        <w:top w:val="none" w:sz="0" w:space="0" w:color="auto"/>
        <w:left w:val="none" w:sz="0" w:space="0" w:color="auto"/>
        <w:bottom w:val="none" w:sz="0" w:space="0" w:color="auto"/>
        <w:right w:val="none" w:sz="0" w:space="0" w:color="auto"/>
      </w:divBdr>
    </w:div>
    <w:div w:id="247690595">
      <w:bodyDiv w:val="1"/>
      <w:marLeft w:val="0"/>
      <w:marRight w:val="0"/>
      <w:marTop w:val="0"/>
      <w:marBottom w:val="0"/>
      <w:divBdr>
        <w:top w:val="none" w:sz="0" w:space="0" w:color="auto"/>
        <w:left w:val="none" w:sz="0" w:space="0" w:color="auto"/>
        <w:bottom w:val="none" w:sz="0" w:space="0" w:color="auto"/>
        <w:right w:val="none" w:sz="0" w:space="0" w:color="auto"/>
      </w:divBdr>
    </w:div>
    <w:div w:id="326129632">
      <w:bodyDiv w:val="1"/>
      <w:marLeft w:val="0"/>
      <w:marRight w:val="0"/>
      <w:marTop w:val="0"/>
      <w:marBottom w:val="0"/>
      <w:divBdr>
        <w:top w:val="none" w:sz="0" w:space="0" w:color="auto"/>
        <w:left w:val="none" w:sz="0" w:space="0" w:color="auto"/>
        <w:bottom w:val="none" w:sz="0" w:space="0" w:color="auto"/>
        <w:right w:val="none" w:sz="0" w:space="0" w:color="auto"/>
      </w:divBdr>
    </w:div>
    <w:div w:id="336344949">
      <w:bodyDiv w:val="1"/>
      <w:marLeft w:val="0"/>
      <w:marRight w:val="0"/>
      <w:marTop w:val="0"/>
      <w:marBottom w:val="0"/>
      <w:divBdr>
        <w:top w:val="none" w:sz="0" w:space="0" w:color="auto"/>
        <w:left w:val="none" w:sz="0" w:space="0" w:color="auto"/>
        <w:bottom w:val="none" w:sz="0" w:space="0" w:color="auto"/>
        <w:right w:val="none" w:sz="0" w:space="0" w:color="auto"/>
      </w:divBdr>
    </w:div>
    <w:div w:id="344941569">
      <w:bodyDiv w:val="1"/>
      <w:marLeft w:val="0"/>
      <w:marRight w:val="0"/>
      <w:marTop w:val="0"/>
      <w:marBottom w:val="0"/>
      <w:divBdr>
        <w:top w:val="none" w:sz="0" w:space="0" w:color="auto"/>
        <w:left w:val="none" w:sz="0" w:space="0" w:color="auto"/>
        <w:bottom w:val="none" w:sz="0" w:space="0" w:color="auto"/>
        <w:right w:val="none" w:sz="0" w:space="0" w:color="auto"/>
      </w:divBdr>
    </w:div>
    <w:div w:id="439254864">
      <w:bodyDiv w:val="1"/>
      <w:marLeft w:val="0"/>
      <w:marRight w:val="0"/>
      <w:marTop w:val="0"/>
      <w:marBottom w:val="0"/>
      <w:divBdr>
        <w:top w:val="none" w:sz="0" w:space="0" w:color="auto"/>
        <w:left w:val="none" w:sz="0" w:space="0" w:color="auto"/>
        <w:bottom w:val="none" w:sz="0" w:space="0" w:color="auto"/>
        <w:right w:val="none" w:sz="0" w:space="0" w:color="auto"/>
      </w:divBdr>
    </w:div>
    <w:div w:id="458034384">
      <w:bodyDiv w:val="1"/>
      <w:marLeft w:val="0"/>
      <w:marRight w:val="0"/>
      <w:marTop w:val="0"/>
      <w:marBottom w:val="0"/>
      <w:divBdr>
        <w:top w:val="none" w:sz="0" w:space="0" w:color="auto"/>
        <w:left w:val="none" w:sz="0" w:space="0" w:color="auto"/>
        <w:bottom w:val="none" w:sz="0" w:space="0" w:color="auto"/>
        <w:right w:val="none" w:sz="0" w:space="0" w:color="auto"/>
      </w:divBdr>
    </w:div>
    <w:div w:id="590814687">
      <w:bodyDiv w:val="1"/>
      <w:marLeft w:val="0"/>
      <w:marRight w:val="0"/>
      <w:marTop w:val="0"/>
      <w:marBottom w:val="0"/>
      <w:divBdr>
        <w:top w:val="none" w:sz="0" w:space="0" w:color="auto"/>
        <w:left w:val="none" w:sz="0" w:space="0" w:color="auto"/>
        <w:bottom w:val="none" w:sz="0" w:space="0" w:color="auto"/>
        <w:right w:val="none" w:sz="0" w:space="0" w:color="auto"/>
      </w:divBdr>
    </w:div>
    <w:div w:id="593707975">
      <w:bodyDiv w:val="1"/>
      <w:marLeft w:val="0"/>
      <w:marRight w:val="0"/>
      <w:marTop w:val="0"/>
      <w:marBottom w:val="0"/>
      <w:divBdr>
        <w:top w:val="none" w:sz="0" w:space="0" w:color="auto"/>
        <w:left w:val="none" w:sz="0" w:space="0" w:color="auto"/>
        <w:bottom w:val="none" w:sz="0" w:space="0" w:color="auto"/>
        <w:right w:val="none" w:sz="0" w:space="0" w:color="auto"/>
      </w:divBdr>
    </w:div>
    <w:div w:id="597909109">
      <w:bodyDiv w:val="1"/>
      <w:marLeft w:val="0"/>
      <w:marRight w:val="0"/>
      <w:marTop w:val="0"/>
      <w:marBottom w:val="0"/>
      <w:divBdr>
        <w:top w:val="none" w:sz="0" w:space="0" w:color="auto"/>
        <w:left w:val="none" w:sz="0" w:space="0" w:color="auto"/>
        <w:bottom w:val="none" w:sz="0" w:space="0" w:color="auto"/>
        <w:right w:val="none" w:sz="0" w:space="0" w:color="auto"/>
      </w:divBdr>
    </w:div>
    <w:div w:id="604113008">
      <w:bodyDiv w:val="1"/>
      <w:marLeft w:val="0"/>
      <w:marRight w:val="0"/>
      <w:marTop w:val="0"/>
      <w:marBottom w:val="0"/>
      <w:divBdr>
        <w:top w:val="none" w:sz="0" w:space="0" w:color="auto"/>
        <w:left w:val="none" w:sz="0" w:space="0" w:color="auto"/>
        <w:bottom w:val="none" w:sz="0" w:space="0" w:color="auto"/>
        <w:right w:val="none" w:sz="0" w:space="0" w:color="auto"/>
      </w:divBdr>
    </w:div>
    <w:div w:id="610892765">
      <w:bodyDiv w:val="1"/>
      <w:marLeft w:val="0"/>
      <w:marRight w:val="0"/>
      <w:marTop w:val="0"/>
      <w:marBottom w:val="0"/>
      <w:divBdr>
        <w:top w:val="none" w:sz="0" w:space="0" w:color="auto"/>
        <w:left w:val="none" w:sz="0" w:space="0" w:color="auto"/>
        <w:bottom w:val="none" w:sz="0" w:space="0" w:color="auto"/>
        <w:right w:val="none" w:sz="0" w:space="0" w:color="auto"/>
      </w:divBdr>
    </w:div>
    <w:div w:id="674962883">
      <w:bodyDiv w:val="1"/>
      <w:marLeft w:val="0"/>
      <w:marRight w:val="0"/>
      <w:marTop w:val="0"/>
      <w:marBottom w:val="0"/>
      <w:divBdr>
        <w:top w:val="none" w:sz="0" w:space="0" w:color="auto"/>
        <w:left w:val="none" w:sz="0" w:space="0" w:color="auto"/>
        <w:bottom w:val="none" w:sz="0" w:space="0" w:color="auto"/>
        <w:right w:val="none" w:sz="0" w:space="0" w:color="auto"/>
      </w:divBdr>
    </w:div>
    <w:div w:id="678774434">
      <w:bodyDiv w:val="1"/>
      <w:marLeft w:val="0"/>
      <w:marRight w:val="0"/>
      <w:marTop w:val="0"/>
      <w:marBottom w:val="0"/>
      <w:divBdr>
        <w:top w:val="none" w:sz="0" w:space="0" w:color="auto"/>
        <w:left w:val="none" w:sz="0" w:space="0" w:color="auto"/>
        <w:bottom w:val="none" w:sz="0" w:space="0" w:color="auto"/>
        <w:right w:val="none" w:sz="0" w:space="0" w:color="auto"/>
      </w:divBdr>
    </w:div>
    <w:div w:id="725102894">
      <w:bodyDiv w:val="1"/>
      <w:marLeft w:val="0"/>
      <w:marRight w:val="0"/>
      <w:marTop w:val="0"/>
      <w:marBottom w:val="0"/>
      <w:divBdr>
        <w:top w:val="none" w:sz="0" w:space="0" w:color="auto"/>
        <w:left w:val="none" w:sz="0" w:space="0" w:color="auto"/>
        <w:bottom w:val="none" w:sz="0" w:space="0" w:color="auto"/>
        <w:right w:val="none" w:sz="0" w:space="0" w:color="auto"/>
      </w:divBdr>
    </w:div>
    <w:div w:id="765149024">
      <w:bodyDiv w:val="1"/>
      <w:marLeft w:val="0"/>
      <w:marRight w:val="0"/>
      <w:marTop w:val="0"/>
      <w:marBottom w:val="0"/>
      <w:divBdr>
        <w:top w:val="none" w:sz="0" w:space="0" w:color="auto"/>
        <w:left w:val="none" w:sz="0" w:space="0" w:color="auto"/>
        <w:bottom w:val="none" w:sz="0" w:space="0" w:color="auto"/>
        <w:right w:val="none" w:sz="0" w:space="0" w:color="auto"/>
      </w:divBdr>
    </w:div>
    <w:div w:id="765619725">
      <w:bodyDiv w:val="1"/>
      <w:marLeft w:val="0"/>
      <w:marRight w:val="0"/>
      <w:marTop w:val="0"/>
      <w:marBottom w:val="0"/>
      <w:divBdr>
        <w:top w:val="none" w:sz="0" w:space="0" w:color="auto"/>
        <w:left w:val="none" w:sz="0" w:space="0" w:color="auto"/>
        <w:bottom w:val="none" w:sz="0" w:space="0" w:color="auto"/>
        <w:right w:val="none" w:sz="0" w:space="0" w:color="auto"/>
      </w:divBdr>
    </w:div>
    <w:div w:id="904606355">
      <w:bodyDiv w:val="1"/>
      <w:marLeft w:val="0"/>
      <w:marRight w:val="0"/>
      <w:marTop w:val="0"/>
      <w:marBottom w:val="0"/>
      <w:divBdr>
        <w:top w:val="none" w:sz="0" w:space="0" w:color="auto"/>
        <w:left w:val="none" w:sz="0" w:space="0" w:color="auto"/>
        <w:bottom w:val="none" w:sz="0" w:space="0" w:color="auto"/>
        <w:right w:val="none" w:sz="0" w:space="0" w:color="auto"/>
      </w:divBdr>
    </w:div>
    <w:div w:id="934292440">
      <w:bodyDiv w:val="1"/>
      <w:marLeft w:val="0"/>
      <w:marRight w:val="0"/>
      <w:marTop w:val="0"/>
      <w:marBottom w:val="0"/>
      <w:divBdr>
        <w:top w:val="none" w:sz="0" w:space="0" w:color="auto"/>
        <w:left w:val="none" w:sz="0" w:space="0" w:color="auto"/>
        <w:bottom w:val="none" w:sz="0" w:space="0" w:color="auto"/>
        <w:right w:val="none" w:sz="0" w:space="0" w:color="auto"/>
      </w:divBdr>
    </w:div>
    <w:div w:id="989481489">
      <w:bodyDiv w:val="1"/>
      <w:marLeft w:val="0"/>
      <w:marRight w:val="0"/>
      <w:marTop w:val="0"/>
      <w:marBottom w:val="0"/>
      <w:divBdr>
        <w:top w:val="none" w:sz="0" w:space="0" w:color="auto"/>
        <w:left w:val="none" w:sz="0" w:space="0" w:color="auto"/>
        <w:bottom w:val="none" w:sz="0" w:space="0" w:color="auto"/>
        <w:right w:val="none" w:sz="0" w:space="0" w:color="auto"/>
      </w:divBdr>
    </w:div>
    <w:div w:id="994643048">
      <w:bodyDiv w:val="1"/>
      <w:marLeft w:val="0"/>
      <w:marRight w:val="0"/>
      <w:marTop w:val="0"/>
      <w:marBottom w:val="0"/>
      <w:divBdr>
        <w:top w:val="none" w:sz="0" w:space="0" w:color="auto"/>
        <w:left w:val="none" w:sz="0" w:space="0" w:color="auto"/>
        <w:bottom w:val="none" w:sz="0" w:space="0" w:color="auto"/>
        <w:right w:val="none" w:sz="0" w:space="0" w:color="auto"/>
      </w:divBdr>
    </w:div>
    <w:div w:id="1039353781">
      <w:bodyDiv w:val="1"/>
      <w:marLeft w:val="0"/>
      <w:marRight w:val="0"/>
      <w:marTop w:val="0"/>
      <w:marBottom w:val="0"/>
      <w:divBdr>
        <w:top w:val="none" w:sz="0" w:space="0" w:color="auto"/>
        <w:left w:val="none" w:sz="0" w:space="0" w:color="auto"/>
        <w:bottom w:val="none" w:sz="0" w:space="0" w:color="auto"/>
        <w:right w:val="none" w:sz="0" w:space="0" w:color="auto"/>
      </w:divBdr>
    </w:div>
    <w:div w:id="1052115145">
      <w:bodyDiv w:val="1"/>
      <w:marLeft w:val="0"/>
      <w:marRight w:val="0"/>
      <w:marTop w:val="0"/>
      <w:marBottom w:val="0"/>
      <w:divBdr>
        <w:top w:val="none" w:sz="0" w:space="0" w:color="auto"/>
        <w:left w:val="none" w:sz="0" w:space="0" w:color="auto"/>
        <w:bottom w:val="none" w:sz="0" w:space="0" w:color="auto"/>
        <w:right w:val="none" w:sz="0" w:space="0" w:color="auto"/>
      </w:divBdr>
    </w:div>
    <w:div w:id="1086151805">
      <w:bodyDiv w:val="1"/>
      <w:marLeft w:val="0"/>
      <w:marRight w:val="0"/>
      <w:marTop w:val="0"/>
      <w:marBottom w:val="0"/>
      <w:divBdr>
        <w:top w:val="none" w:sz="0" w:space="0" w:color="auto"/>
        <w:left w:val="none" w:sz="0" w:space="0" w:color="auto"/>
        <w:bottom w:val="none" w:sz="0" w:space="0" w:color="auto"/>
        <w:right w:val="none" w:sz="0" w:space="0" w:color="auto"/>
      </w:divBdr>
    </w:div>
    <w:div w:id="1114440495">
      <w:bodyDiv w:val="1"/>
      <w:marLeft w:val="0"/>
      <w:marRight w:val="0"/>
      <w:marTop w:val="0"/>
      <w:marBottom w:val="0"/>
      <w:divBdr>
        <w:top w:val="none" w:sz="0" w:space="0" w:color="auto"/>
        <w:left w:val="none" w:sz="0" w:space="0" w:color="auto"/>
        <w:bottom w:val="none" w:sz="0" w:space="0" w:color="auto"/>
        <w:right w:val="none" w:sz="0" w:space="0" w:color="auto"/>
      </w:divBdr>
    </w:div>
    <w:div w:id="1127965946">
      <w:bodyDiv w:val="1"/>
      <w:marLeft w:val="0"/>
      <w:marRight w:val="0"/>
      <w:marTop w:val="0"/>
      <w:marBottom w:val="0"/>
      <w:divBdr>
        <w:top w:val="none" w:sz="0" w:space="0" w:color="auto"/>
        <w:left w:val="none" w:sz="0" w:space="0" w:color="auto"/>
        <w:bottom w:val="none" w:sz="0" w:space="0" w:color="auto"/>
        <w:right w:val="none" w:sz="0" w:space="0" w:color="auto"/>
      </w:divBdr>
    </w:div>
    <w:div w:id="1139230173">
      <w:bodyDiv w:val="1"/>
      <w:marLeft w:val="0"/>
      <w:marRight w:val="0"/>
      <w:marTop w:val="0"/>
      <w:marBottom w:val="0"/>
      <w:divBdr>
        <w:top w:val="none" w:sz="0" w:space="0" w:color="auto"/>
        <w:left w:val="none" w:sz="0" w:space="0" w:color="auto"/>
        <w:bottom w:val="none" w:sz="0" w:space="0" w:color="auto"/>
        <w:right w:val="none" w:sz="0" w:space="0" w:color="auto"/>
      </w:divBdr>
    </w:div>
    <w:div w:id="1171682396">
      <w:bodyDiv w:val="1"/>
      <w:marLeft w:val="0"/>
      <w:marRight w:val="0"/>
      <w:marTop w:val="0"/>
      <w:marBottom w:val="0"/>
      <w:divBdr>
        <w:top w:val="none" w:sz="0" w:space="0" w:color="auto"/>
        <w:left w:val="none" w:sz="0" w:space="0" w:color="auto"/>
        <w:bottom w:val="none" w:sz="0" w:space="0" w:color="auto"/>
        <w:right w:val="none" w:sz="0" w:space="0" w:color="auto"/>
      </w:divBdr>
    </w:div>
    <w:div w:id="1184125020">
      <w:bodyDiv w:val="1"/>
      <w:marLeft w:val="0"/>
      <w:marRight w:val="0"/>
      <w:marTop w:val="0"/>
      <w:marBottom w:val="0"/>
      <w:divBdr>
        <w:top w:val="none" w:sz="0" w:space="0" w:color="auto"/>
        <w:left w:val="none" w:sz="0" w:space="0" w:color="auto"/>
        <w:bottom w:val="none" w:sz="0" w:space="0" w:color="auto"/>
        <w:right w:val="none" w:sz="0" w:space="0" w:color="auto"/>
      </w:divBdr>
    </w:div>
    <w:div w:id="1187329024">
      <w:bodyDiv w:val="1"/>
      <w:marLeft w:val="0"/>
      <w:marRight w:val="0"/>
      <w:marTop w:val="0"/>
      <w:marBottom w:val="0"/>
      <w:divBdr>
        <w:top w:val="none" w:sz="0" w:space="0" w:color="auto"/>
        <w:left w:val="none" w:sz="0" w:space="0" w:color="auto"/>
        <w:bottom w:val="none" w:sz="0" w:space="0" w:color="auto"/>
        <w:right w:val="none" w:sz="0" w:space="0" w:color="auto"/>
      </w:divBdr>
    </w:div>
    <w:div w:id="1191145118">
      <w:bodyDiv w:val="1"/>
      <w:marLeft w:val="0"/>
      <w:marRight w:val="0"/>
      <w:marTop w:val="0"/>
      <w:marBottom w:val="0"/>
      <w:divBdr>
        <w:top w:val="none" w:sz="0" w:space="0" w:color="auto"/>
        <w:left w:val="none" w:sz="0" w:space="0" w:color="auto"/>
        <w:bottom w:val="none" w:sz="0" w:space="0" w:color="auto"/>
        <w:right w:val="none" w:sz="0" w:space="0" w:color="auto"/>
      </w:divBdr>
    </w:div>
    <w:div w:id="1203443818">
      <w:bodyDiv w:val="1"/>
      <w:marLeft w:val="0"/>
      <w:marRight w:val="0"/>
      <w:marTop w:val="0"/>
      <w:marBottom w:val="0"/>
      <w:divBdr>
        <w:top w:val="none" w:sz="0" w:space="0" w:color="auto"/>
        <w:left w:val="none" w:sz="0" w:space="0" w:color="auto"/>
        <w:bottom w:val="none" w:sz="0" w:space="0" w:color="auto"/>
        <w:right w:val="none" w:sz="0" w:space="0" w:color="auto"/>
      </w:divBdr>
    </w:div>
    <w:div w:id="1230339773">
      <w:bodyDiv w:val="1"/>
      <w:marLeft w:val="0"/>
      <w:marRight w:val="0"/>
      <w:marTop w:val="0"/>
      <w:marBottom w:val="0"/>
      <w:divBdr>
        <w:top w:val="none" w:sz="0" w:space="0" w:color="auto"/>
        <w:left w:val="none" w:sz="0" w:space="0" w:color="auto"/>
        <w:bottom w:val="none" w:sz="0" w:space="0" w:color="auto"/>
        <w:right w:val="none" w:sz="0" w:space="0" w:color="auto"/>
      </w:divBdr>
    </w:div>
    <w:div w:id="1268344779">
      <w:bodyDiv w:val="1"/>
      <w:marLeft w:val="0"/>
      <w:marRight w:val="0"/>
      <w:marTop w:val="0"/>
      <w:marBottom w:val="0"/>
      <w:divBdr>
        <w:top w:val="none" w:sz="0" w:space="0" w:color="auto"/>
        <w:left w:val="none" w:sz="0" w:space="0" w:color="auto"/>
        <w:bottom w:val="none" w:sz="0" w:space="0" w:color="auto"/>
        <w:right w:val="none" w:sz="0" w:space="0" w:color="auto"/>
      </w:divBdr>
    </w:div>
    <w:div w:id="1294864855">
      <w:bodyDiv w:val="1"/>
      <w:marLeft w:val="0"/>
      <w:marRight w:val="0"/>
      <w:marTop w:val="0"/>
      <w:marBottom w:val="0"/>
      <w:divBdr>
        <w:top w:val="none" w:sz="0" w:space="0" w:color="auto"/>
        <w:left w:val="none" w:sz="0" w:space="0" w:color="auto"/>
        <w:bottom w:val="none" w:sz="0" w:space="0" w:color="auto"/>
        <w:right w:val="none" w:sz="0" w:space="0" w:color="auto"/>
      </w:divBdr>
    </w:div>
    <w:div w:id="1316106272">
      <w:bodyDiv w:val="1"/>
      <w:marLeft w:val="0"/>
      <w:marRight w:val="0"/>
      <w:marTop w:val="0"/>
      <w:marBottom w:val="0"/>
      <w:divBdr>
        <w:top w:val="none" w:sz="0" w:space="0" w:color="auto"/>
        <w:left w:val="none" w:sz="0" w:space="0" w:color="auto"/>
        <w:bottom w:val="none" w:sz="0" w:space="0" w:color="auto"/>
        <w:right w:val="none" w:sz="0" w:space="0" w:color="auto"/>
      </w:divBdr>
    </w:div>
    <w:div w:id="1346861347">
      <w:bodyDiv w:val="1"/>
      <w:marLeft w:val="0"/>
      <w:marRight w:val="0"/>
      <w:marTop w:val="0"/>
      <w:marBottom w:val="0"/>
      <w:divBdr>
        <w:top w:val="none" w:sz="0" w:space="0" w:color="auto"/>
        <w:left w:val="none" w:sz="0" w:space="0" w:color="auto"/>
        <w:bottom w:val="none" w:sz="0" w:space="0" w:color="auto"/>
        <w:right w:val="none" w:sz="0" w:space="0" w:color="auto"/>
      </w:divBdr>
    </w:div>
    <w:div w:id="1367681196">
      <w:bodyDiv w:val="1"/>
      <w:marLeft w:val="0"/>
      <w:marRight w:val="0"/>
      <w:marTop w:val="0"/>
      <w:marBottom w:val="0"/>
      <w:divBdr>
        <w:top w:val="none" w:sz="0" w:space="0" w:color="auto"/>
        <w:left w:val="none" w:sz="0" w:space="0" w:color="auto"/>
        <w:bottom w:val="none" w:sz="0" w:space="0" w:color="auto"/>
        <w:right w:val="none" w:sz="0" w:space="0" w:color="auto"/>
      </w:divBdr>
    </w:div>
    <w:div w:id="1391728422">
      <w:bodyDiv w:val="1"/>
      <w:marLeft w:val="0"/>
      <w:marRight w:val="0"/>
      <w:marTop w:val="0"/>
      <w:marBottom w:val="0"/>
      <w:divBdr>
        <w:top w:val="none" w:sz="0" w:space="0" w:color="auto"/>
        <w:left w:val="none" w:sz="0" w:space="0" w:color="auto"/>
        <w:bottom w:val="none" w:sz="0" w:space="0" w:color="auto"/>
        <w:right w:val="none" w:sz="0" w:space="0" w:color="auto"/>
      </w:divBdr>
    </w:div>
    <w:div w:id="1405374991">
      <w:bodyDiv w:val="1"/>
      <w:marLeft w:val="0"/>
      <w:marRight w:val="0"/>
      <w:marTop w:val="0"/>
      <w:marBottom w:val="0"/>
      <w:divBdr>
        <w:top w:val="none" w:sz="0" w:space="0" w:color="auto"/>
        <w:left w:val="none" w:sz="0" w:space="0" w:color="auto"/>
        <w:bottom w:val="none" w:sz="0" w:space="0" w:color="auto"/>
        <w:right w:val="none" w:sz="0" w:space="0" w:color="auto"/>
      </w:divBdr>
    </w:div>
    <w:div w:id="1422725982">
      <w:bodyDiv w:val="1"/>
      <w:marLeft w:val="0"/>
      <w:marRight w:val="0"/>
      <w:marTop w:val="0"/>
      <w:marBottom w:val="0"/>
      <w:divBdr>
        <w:top w:val="none" w:sz="0" w:space="0" w:color="auto"/>
        <w:left w:val="none" w:sz="0" w:space="0" w:color="auto"/>
        <w:bottom w:val="none" w:sz="0" w:space="0" w:color="auto"/>
        <w:right w:val="none" w:sz="0" w:space="0" w:color="auto"/>
      </w:divBdr>
    </w:div>
    <w:div w:id="1427270494">
      <w:bodyDiv w:val="1"/>
      <w:marLeft w:val="0"/>
      <w:marRight w:val="0"/>
      <w:marTop w:val="0"/>
      <w:marBottom w:val="0"/>
      <w:divBdr>
        <w:top w:val="none" w:sz="0" w:space="0" w:color="auto"/>
        <w:left w:val="none" w:sz="0" w:space="0" w:color="auto"/>
        <w:bottom w:val="none" w:sz="0" w:space="0" w:color="auto"/>
        <w:right w:val="none" w:sz="0" w:space="0" w:color="auto"/>
      </w:divBdr>
    </w:div>
    <w:div w:id="1435512891">
      <w:bodyDiv w:val="1"/>
      <w:marLeft w:val="0"/>
      <w:marRight w:val="0"/>
      <w:marTop w:val="0"/>
      <w:marBottom w:val="0"/>
      <w:divBdr>
        <w:top w:val="none" w:sz="0" w:space="0" w:color="auto"/>
        <w:left w:val="none" w:sz="0" w:space="0" w:color="auto"/>
        <w:bottom w:val="none" w:sz="0" w:space="0" w:color="auto"/>
        <w:right w:val="none" w:sz="0" w:space="0" w:color="auto"/>
      </w:divBdr>
    </w:div>
    <w:div w:id="1440249754">
      <w:bodyDiv w:val="1"/>
      <w:marLeft w:val="0"/>
      <w:marRight w:val="0"/>
      <w:marTop w:val="0"/>
      <w:marBottom w:val="0"/>
      <w:divBdr>
        <w:top w:val="none" w:sz="0" w:space="0" w:color="auto"/>
        <w:left w:val="none" w:sz="0" w:space="0" w:color="auto"/>
        <w:bottom w:val="none" w:sz="0" w:space="0" w:color="auto"/>
        <w:right w:val="none" w:sz="0" w:space="0" w:color="auto"/>
      </w:divBdr>
    </w:div>
    <w:div w:id="1475370429">
      <w:bodyDiv w:val="1"/>
      <w:marLeft w:val="0"/>
      <w:marRight w:val="0"/>
      <w:marTop w:val="0"/>
      <w:marBottom w:val="0"/>
      <w:divBdr>
        <w:top w:val="none" w:sz="0" w:space="0" w:color="auto"/>
        <w:left w:val="none" w:sz="0" w:space="0" w:color="auto"/>
        <w:bottom w:val="none" w:sz="0" w:space="0" w:color="auto"/>
        <w:right w:val="none" w:sz="0" w:space="0" w:color="auto"/>
      </w:divBdr>
    </w:div>
    <w:div w:id="1494757772">
      <w:bodyDiv w:val="1"/>
      <w:marLeft w:val="0"/>
      <w:marRight w:val="0"/>
      <w:marTop w:val="0"/>
      <w:marBottom w:val="0"/>
      <w:divBdr>
        <w:top w:val="none" w:sz="0" w:space="0" w:color="auto"/>
        <w:left w:val="none" w:sz="0" w:space="0" w:color="auto"/>
        <w:bottom w:val="none" w:sz="0" w:space="0" w:color="auto"/>
        <w:right w:val="none" w:sz="0" w:space="0" w:color="auto"/>
      </w:divBdr>
    </w:div>
    <w:div w:id="1497573678">
      <w:bodyDiv w:val="1"/>
      <w:marLeft w:val="0"/>
      <w:marRight w:val="0"/>
      <w:marTop w:val="0"/>
      <w:marBottom w:val="0"/>
      <w:divBdr>
        <w:top w:val="none" w:sz="0" w:space="0" w:color="auto"/>
        <w:left w:val="none" w:sz="0" w:space="0" w:color="auto"/>
        <w:bottom w:val="none" w:sz="0" w:space="0" w:color="auto"/>
        <w:right w:val="none" w:sz="0" w:space="0" w:color="auto"/>
      </w:divBdr>
    </w:div>
    <w:div w:id="1584530257">
      <w:bodyDiv w:val="1"/>
      <w:marLeft w:val="0"/>
      <w:marRight w:val="0"/>
      <w:marTop w:val="0"/>
      <w:marBottom w:val="0"/>
      <w:divBdr>
        <w:top w:val="none" w:sz="0" w:space="0" w:color="auto"/>
        <w:left w:val="none" w:sz="0" w:space="0" w:color="auto"/>
        <w:bottom w:val="none" w:sz="0" w:space="0" w:color="auto"/>
        <w:right w:val="none" w:sz="0" w:space="0" w:color="auto"/>
      </w:divBdr>
    </w:div>
    <w:div w:id="1594363360">
      <w:bodyDiv w:val="1"/>
      <w:marLeft w:val="0"/>
      <w:marRight w:val="0"/>
      <w:marTop w:val="0"/>
      <w:marBottom w:val="0"/>
      <w:divBdr>
        <w:top w:val="none" w:sz="0" w:space="0" w:color="auto"/>
        <w:left w:val="none" w:sz="0" w:space="0" w:color="auto"/>
        <w:bottom w:val="none" w:sz="0" w:space="0" w:color="auto"/>
        <w:right w:val="none" w:sz="0" w:space="0" w:color="auto"/>
      </w:divBdr>
    </w:div>
    <w:div w:id="1634140867">
      <w:bodyDiv w:val="1"/>
      <w:marLeft w:val="0"/>
      <w:marRight w:val="0"/>
      <w:marTop w:val="0"/>
      <w:marBottom w:val="0"/>
      <w:divBdr>
        <w:top w:val="none" w:sz="0" w:space="0" w:color="auto"/>
        <w:left w:val="none" w:sz="0" w:space="0" w:color="auto"/>
        <w:bottom w:val="none" w:sz="0" w:space="0" w:color="auto"/>
        <w:right w:val="none" w:sz="0" w:space="0" w:color="auto"/>
      </w:divBdr>
    </w:div>
    <w:div w:id="1661037149">
      <w:bodyDiv w:val="1"/>
      <w:marLeft w:val="0"/>
      <w:marRight w:val="0"/>
      <w:marTop w:val="0"/>
      <w:marBottom w:val="0"/>
      <w:divBdr>
        <w:top w:val="none" w:sz="0" w:space="0" w:color="auto"/>
        <w:left w:val="none" w:sz="0" w:space="0" w:color="auto"/>
        <w:bottom w:val="none" w:sz="0" w:space="0" w:color="auto"/>
        <w:right w:val="none" w:sz="0" w:space="0" w:color="auto"/>
      </w:divBdr>
    </w:div>
    <w:div w:id="1663003994">
      <w:bodyDiv w:val="1"/>
      <w:marLeft w:val="0"/>
      <w:marRight w:val="0"/>
      <w:marTop w:val="0"/>
      <w:marBottom w:val="0"/>
      <w:divBdr>
        <w:top w:val="none" w:sz="0" w:space="0" w:color="auto"/>
        <w:left w:val="none" w:sz="0" w:space="0" w:color="auto"/>
        <w:bottom w:val="none" w:sz="0" w:space="0" w:color="auto"/>
        <w:right w:val="none" w:sz="0" w:space="0" w:color="auto"/>
      </w:divBdr>
    </w:div>
    <w:div w:id="1664433491">
      <w:bodyDiv w:val="1"/>
      <w:marLeft w:val="0"/>
      <w:marRight w:val="0"/>
      <w:marTop w:val="0"/>
      <w:marBottom w:val="0"/>
      <w:divBdr>
        <w:top w:val="none" w:sz="0" w:space="0" w:color="auto"/>
        <w:left w:val="none" w:sz="0" w:space="0" w:color="auto"/>
        <w:bottom w:val="none" w:sz="0" w:space="0" w:color="auto"/>
        <w:right w:val="none" w:sz="0" w:space="0" w:color="auto"/>
      </w:divBdr>
    </w:div>
    <w:div w:id="1712147263">
      <w:bodyDiv w:val="1"/>
      <w:marLeft w:val="0"/>
      <w:marRight w:val="0"/>
      <w:marTop w:val="0"/>
      <w:marBottom w:val="0"/>
      <w:divBdr>
        <w:top w:val="none" w:sz="0" w:space="0" w:color="auto"/>
        <w:left w:val="none" w:sz="0" w:space="0" w:color="auto"/>
        <w:bottom w:val="none" w:sz="0" w:space="0" w:color="auto"/>
        <w:right w:val="none" w:sz="0" w:space="0" w:color="auto"/>
      </w:divBdr>
    </w:div>
    <w:div w:id="1742093897">
      <w:bodyDiv w:val="1"/>
      <w:marLeft w:val="0"/>
      <w:marRight w:val="0"/>
      <w:marTop w:val="0"/>
      <w:marBottom w:val="0"/>
      <w:divBdr>
        <w:top w:val="none" w:sz="0" w:space="0" w:color="auto"/>
        <w:left w:val="none" w:sz="0" w:space="0" w:color="auto"/>
        <w:bottom w:val="none" w:sz="0" w:space="0" w:color="auto"/>
        <w:right w:val="none" w:sz="0" w:space="0" w:color="auto"/>
      </w:divBdr>
    </w:div>
    <w:div w:id="1757901908">
      <w:bodyDiv w:val="1"/>
      <w:marLeft w:val="0"/>
      <w:marRight w:val="0"/>
      <w:marTop w:val="0"/>
      <w:marBottom w:val="0"/>
      <w:divBdr>
        <w:top w:val="none" w:sz="0" w:space="0" w:color="auto"/>
        <w:left w:val="none" w:sz="0" w:space="0" w:color="auto"/>
        <w:bottom w:val="none" w:sz="0" w:space="0" w:color="auto"/>
        <w:right w:val="none" w:sz="0" w:space="0" w:color="auto"/>
      </w:divBdr>
    </w:div>
    <w:div w:id="1760058878">
      <w:bodyDiv w:val="1"/>
      <w:marLeft w:val="0"/>
      <w:marRight w:val="0"/>
      <w:marTop w:val="0"/>
      <w:marBottom w:val="0"/>
      <w:divBdr>
        <w:top w:val="none" w:sz="0" w:space="0" w:color="auto"/>
        <w:left w:val="none" w:sz="0" w:space="0" w:color="auto"/>
        <w:bottom w:val="none" w:sz="0" w:space="0" w:color="auto"/>
        <w:right w:val="none" w:sz="0" w:space="0" w:color="auto"/>
      </w:divBdr>
    </w:div>
    <w:div w:id="1814784424">
      <w:bodyDiv w:val="1"/>
      <w:marLeft w:val="0"/>
      <w:marRight w:val="0"/>
      <w:marTop w:val="0"/>
      <w:marBottom w:val="0"/>
      <w:divBdr>
        <w:top w:val="none" w:sz="0" w:space="0" w:color="auto"/>
        <w:left w:val="none" w:sz="0" w:space="0" w:color="auto"/>
        <w:bottom w:val="none" w:sz="0" w:space="0" w:color="auto"/>
        <w:right w:val="none" w:sz="0" w:space="0" w:color="auto"/>
      </w:divBdr>
    </w:div>
    <w:div w:id="1879008355">
      <w:bodyDiv w:val="1"/>
      <w:marLeft w:val="0"/>
      <w:marRight w:val="0"/>
      <w:marTop w:val="0"/>
      <w:marBottom w:val="0"/>
      <w:divBdr>
        <w:top w:val="none" w:sz="0" w:space="0" w:color="auto"/>
        <w:left w:val="none" w:sz="0" w:space="0" w:color="auto"/>
        <w:bottom w:val="none" w:sz="0" w:space="0" w:color="auto"/>
        <w:right w:val="none" w:sz="0" w:space="0" w:color="auto"/>
      </w:divBdr>
    </w:div>
    <w:div w:id="1913157289">
      <w:bodyDiv w:val="1"/>
      <w:marLeft w:val="0"/>
      <w:marRight w:val="0"/>
      <w:marTop w:val="0"/>
      <w:marBottom w:val="0"/>
      <w:divBdr>
        <w:top w:val="none" w:sz="0" w:space="0" w:color="auto"/>
        <w:left w:val="none" w:sz="0" w:space="0" w:color="auto"/>
        <w:bottom w:val="none" w:sz="0" w:space="0" w:color="auto"/>
        <w:right w:val="none" w:sz="0" w:space="0" w:color="auto"/>
      </w:divBdr>
    </w:div>
    <w:div w:id="1920366423">
      <w:bodyDiv w:val="1"/>
      <w:marLeft w:val="0"/>
      <w:marRight w:val="0"/>
      <w:marTop w:val="0"/>
      <w:marBottom w:val="0"/>
      <w:divBdr>
        <w:top w:val="none" w:sz="0" w:space="0" w:color="auto"/>
        <w:left w:val="none" w:sz="0" w:space="0" w:color="auto"/>
        <w:bottom w:val="none" w:sz="0" w:space="0" w:color="auto"/>
        <w:right w:val="none" w:sz="0" w:space="0" w:color="auto"/>
      </w:divBdr>
    </w:div>
    <w:div w:id="1943302020">
      <w:bodyDiv w:val="1"/>
      <w:marLeft w:val="0"/>
      <w:marRight w:val="0"/>
      <w:marTop w:val="0"/>
      <w:marBottom w:val="0"/>
      <w:divBdr>
        <w:top w:val="none" w:sz="0" w:space="0" w:color="auto"/>
        <w:left w:val="none" w:sz="0" w:space="0" w:color="auto"/>
        <w:bottom w:val="none" w:sz="0" w:space="0" w:color="auto"/>
        <w:right w:val="none" w:sz="0" w:space="0" w:color="auto"/>
      </w:divBdr>
    </w:div>
    <w:div w:id="1952081324">
      <w:bodyDiv w:val="1"/>
      <w:marLeft w:val="0"/>
      <w:marRight w:val="0"/>
      <w:marTop w:val="0"/>
      <w:marBottom w:val="0"/>
      <w:divBdr>
        <w:top w:val="none" w:sz="0" w:space="0" w:color="auto"/>
        <w:left w:val="none" w:sz="0" w:space="0" w:color="auto"/>
        <w:bottom w:val="none" w:sz="0" w:space="0" w:color="auto"/>
        <w:right w:val="none" w:sz="0" w:space="0" w:color="auto"/>
      </w:divBdr>
    </w:div>
    <w:div w:id="2000841967">
      <w:bodyDiv w:val="1"/>
      <w:marLeft w:val="0"/>
      <w:marRight w:val="0"/>
      <w:marTop w:val="0"/>
      <w:marBottom w:val="0"/>
      <w:divBdr>
        <w:top w:val="none" w:sz="0" w:space="0" w:color="auto"/>
        <w:left w:val="none" w:sz="0" w:space="0" w:color="auto"/>
        <w:bottom w:val="none" w:sz="0" w:space="0" w:color="auto"/>
        <w:right w:val="none" w:sz="0" w:space="0" w:color="auto"/>
      </w:divBdr>
    </w:div>
    <w:div w:id="2058503841">
      <w:bodyDiv w:val="1"/>
      <w:marLeft w:val="0"/>
      <w:marRight w:val="0"/>
      <w:marTop w:val="0"/>
      <w:marBottom w:val="0"/>
      <w:divBdr>
        <w:top w:val="none" w:sz="0" w:space="0" w:color="auto"/>
        <w:left w:val="none" w:sz="0" w:space="0" w:color="auto"/>
        <w:bottom w:val="none" w:sz="0" w:space="0" w:color="auto"/>
        <w:right w:val="none" w:sz="0" w:space="0" w:color="auto"/>
      </w:divBdr>
    </w:div>
    <w:div w:id="2100060985">
      <w:bodyDiv w:val="1"/>
      <w:marLeft w:val="0"/>
      <w:marRight w:val="0"/>
      <w:marTop w:val="0"/>
      <w:marBottom w:val="0"/>
      <w:divBdr>
        <w:top w:val="none" w:sz="0" w:space="0" w:color="auto"/>
        <w:left w:val="none" w:sz="0" w:space="0" w:color="auto"/>
        <w:bottom w:val="none" w:sz="0" w:space="0" w:color="auto"/>
        <w:right w:val="none" w:sz="0" w:space="0" w:color="auto"/>
      </w:divBdr>
    </w:div>
    <w:div w:id="2132280873">
      <w:bodyDiv w:val="1"/>
      <w:marLeft w:val="0"/>
      <w:marRight w:val="0"/>
      <w:marTop w:val="0"/>
      <w:marBottom w:val="0"/>
      <w:divBdr>
        <w:top w:val="none" w:sz="0" w:space="0" w:color="auto"/>
        <w:left w:val="none" w:sz="0" w:space="0" w:color="auto"/>
        <w:bottom w:val="none" w:sz="0" w:space="0" w:color="auto"/>
        <w:right w:val="none" w:sz="0" w:space="0" w:color="auto"/>
      </w:divBdr>
    </w:div>
    <w:div w:id="214010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6.emf"/><Relationship Id="rId33" Type="http://schemas.openxmlformats.org/officeDocument/2006/relationships/image" Target="media/image24.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chart" Target="charts/chart2.xml"/><Relationship Id="rId32" Type="http://schemas.openxmlformats.org/officeDocument/2006/relationships/image" Target="media/image23.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hart" Target="charts/chart1.xml"/><Relationship Id="rId28" Type="http://schemas.openxmlformats.org/officeDocument/2006/relationships/image" Target="media/image19.emf"/><Relationship Id="rId36"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5.emf"/></Relationships>
</file>

<file path=word/charts/_rels/chart1.xml.rels><?xml version="1.0" encoding="UTF-8" standalone="yes"?>
<Relationships xmlns="http://schemas.openxmlformats.org/package/2006/relationships"><Relationship Id="rId3" Type="http://schemas.openxmlformats.org/officeDocument/2006/relationships/oleObject" Target="file:///\\fs1\depts\Finance\Performance%20Reports\2019-20\M06\Budget%20Summaries\M06%20SLA%20Pivots%20Reported%20Posit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s1\depts\Finance\Performance%20Reports\2019-20\M06\Budget%20Summaries\M06%20SLA%20Pivots%20Reported%20Position.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[M06 SLA Pivots Reported Position.xlsx]Ave Inc per Spell by Division!PivotTable4</c:name>
    <c:fmtId val="15"/>
  </c:pivotSource>
  <c:chart>
    <c:autoTitleDeleted val="0"/>
    <c:pivotFmts>
      <c:pivotFmt>
        <c:idx val="0"/>
        <c:spPr>
          <a:solidFill>
            <a:schemeClr val="accent1"/>
          </a:solidFill>
          <a:ln w="28575" cap="rnd">
            <a:solidFill>
              <a:schemeClr val="accent1"/>
            </a:solidFill>
            <a:round/>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w="28575" cap="rnd">
            <a:solidFill>
              <a:schemeClr val="accent1"/>
            </a:solidFill>
            <a:round/>
          </a:ln>
          <a:effectLst/>
        </c:spPr>
        <c:marker>
          <c:symbol val="none"/>
        </c:marker>
      </c:pivotFmt>
      <c:pivotFmt>
        <c:idx val="3"/>
        <c:spPr>
          <a:solidFill>
            <a:schemeClr val="accent1"/>
          </a:solidFill>
          <a:ln w="28575" cap="rnd">
            <a:solidFill>
              <a:schemeClr val="accent1"/>
            </a:solidFill>
            <a:round/>
          </a:ln>
          <a:effectLst/>
        </c:spPr>
        <c:marker>
          <c:symbol val="none"/>
        </c:marker>
      </c:pivotFmt>
      <c:pivotFmt>
        <c:idx val="4"/>
        <c:spPr>
          <a:solidFill>
            <a:schemeClr val="accent1"/>
          </a:solidFill>
          <a:ln w="28575" cap="rnd">
            <a:solidFill>
              <a:schemeClr val="accent1"/>
            </a:solidFill>
            <a:round/>
          </a:ln>
          <a:effectLst/>
        </c:spPr>
        <c:marker>
          <c:symbol val="none"/>
        </c:marker>
      </c:pivotFmt>
      <c:pivotFmt>
        <c:idx val="5"/>
        <c:spPr>
          <a:solidFill>
            <a:schemeClr val="accent1"/>
          </a:solidFill>
          <a:ln w="28575" cap="rnd">
            <a:solidFill>
              <a:schemeClr val="accent1"/>
            </a:solidFill>
            <a:round/>
          </a:ln>
          <a:effectLst/>
        </c:spPr>
        <c:marker>
          <c:symbol val="none"/>
        </c:marker>
      </c:pivotFmt>
      <c:pivotFmt>
        <c:idx val="6"/>
        <c:spPr>
          <a:solidFill>
            <a:schemeClr val="accent1"/>
          </a:solidFill>
          <a:ln w="28575" cap="rnd">
            <a:solidFill>
              <a:schemeClr val="accent1"/>
            </a:solidFill>
            <a:round/>
          </a:ln>
          <a:effectLst/>
        </c:spPr>
        <c:marker>
          <c:symbol val="none"/>
        </c:marker>
      </c:pivotFmt>
      <c:pivotFmt>
        <c:idx val="7"/>
        <c:spPr>
          <a:solidFill>
            <a:schemeClr val="accent1"/>
          </a:solidFill>
          <a:ln w="28575" cap="rnd">
            <a:solidFill>
              <a:schemeClr val="accent1"/>
            </a:solidFill>
            <a:round/>
          </a:ln>
          <a:effectLst/>
        </c:spPr>
        <c:marker>
          <c:symbol val="none"/>
        </c:marker>
      </c:pivotFmt>
    </c:pivotFmts>
    <c:plotArea>
      <c:layout/>
      <c:lineChart>
        <c:grouping val="standard"/>
        <c:varyColors val="0"/>
        <c:ser>
          <c:idx val="0"/>
          <c:order val="0"/>
          <c:tx>
            <c:strRef>
              <c:f>'Ave Inc per Spell by Division'!$G$176</c:f>
              <c:strCache>
                <c:ptCount val="1"/>
                <c:pt idx="0">
                  <c:v>Sum of 2018-2019 Average per Spell</c:v>
                </c:pt>
              </c:strCache>
            </c:strRef>
          </c:tx>
          <c:spPr>
            <a:ln w="28575" cap="rnd">
              <a:solidFill>
                <a:schemeClr val="accent1"/>
              </a:solidFill>
              <a:round/>
            </a:ln>
            <a:effectLst/>
          </c:spPr>
          <c:marker>
            <c:symbol val="none"/>
          </c:marker>
          <c:cat>
            <c:strRef>
              <c:f>'Ave Inc per Spell by Division'!$F$177:$F$189</c:f>
              <c:strCache>
                <c:ptCount val="12"/>
                <c:pt idx="0">
                  <c:v>Month 01-April </c:v>
                </c:pt>
                <c:pt idx="1">
                  <c:v>Month 02-May </c:v>
                </c:pt>
                <c:pt idx="2">
                  <c:v>Month 03-June </c:v>
                </c:pt>
                <c:pt idx="3">
                  <c:v>Month 04-July </c:v>
                </c:pt>
                <c:pt idx="4">
                  <c:v>Month 05-August </c:v>
                </c:pt>
                <c:pt idx="5">
                  <c:v>Month 06-September </c:v>
                </c:pt>
                <c:pt idx="6">
                  <c:v>Month 07-October </c:v>
                </c:pt>
                <c:pt idx="7">
                  <c:v>Month 08-November </c:v>
                </c:pt>
                <c:pt idx="8">
                  <c:v>Month 09-December </c:v>
                </c:pt>
                <c:pt idx="9">
                  <c:v>Month 10-January </c:v>
                </c:pt>
                <c:pt idx="10">
                  <c:v>Month 11-February </c:v>
                </c:pt>
                <c:pt idx="11">
                  <c:v>Month 12-March </c:v>
                </c:pt>
              </c:strCache>
            </c:strRef>
          </c:cat>
          <c:val>
            <c:numRef>
              <c:f>'Ave Inc per Spell by Division'!$G$177:$G$189</c:f>
              <c:numCache>
                <c:formatCode>General</c:formatCode>
                <c:ptCount val="12"/>
                <c:pt idx="0">
                  <c:v>3106.8862337246883</c:v>
                </c:pt>
                <c:pt idx="1">
                  <c:v>2964.8868674335718</c:v>
                </c:pt>
                <c:pt idx="2">
                  <c:v>3098.7201646821291</c:v>
                </c:pt>
                <c:pt idx="3">
                  <c:v>3057.5177401942333</c:v>
                </c:pt>
                <c:pt idx="4">
                  <c:v>3115.7113967008218</c:v>
                </c:pt>
                <c:pt idx="5">
                  <c:v>2865.0201420341045</c:v>
                </c:pt>
                <c:pt idx="6">
                  <c:v>2986.7337599036896</c:v>
                </c:pt>
                <c:pt idx="7">
                  <c:v>2948.2433568022893</c:v>
                </c:pt>
                <c:pt idx="8">
                  <c:v>3307.0388399384642</c:v>
                </c:pt>
                <c:pt idx="9">
                  <c:v>2721.8557470963133</c:v>
                </c:pt>
                <c:pt idx="10">
                  <c:v>2964.7404610004346</c:v>
                </c:pt>
                <c:pt idx="11">
                  <c:v>2988.6155680001471</c:v>
                </c:pt>
              </c:numCache>
            </c:numRef>
          </c:val>
          <c:smooth val="0"/>
          <c:extLst>
            <c:ext xmlns:c16="http://schemas.microsoft.com/office/drawing/2014/chart" uri="{C3380CC4-5D6E-409C-BE32-E72D297353CC}">
              <c16:uniqueId val="{00000000-AAFB-41C2-8FF5-27BCFAE5F908}"/>
            </c:ext>
          </c:extLst>
        </c:ser>
        <c:ser>
          <c:idx val="1"/>
          <c:order val="1"/>
          <c:tx>
            <c:strRef>
              <c:f>'Ave Inc per Spell by Division'!$H$176</c:f>
              <c:strCache>
                <c:ptCount val="1"/>
                <c:pt idx="0">
                  <c:v>Sum of 2019-2020 Average per Spell</c:v>
                </c:pt>
              </c:strCache>
            </c:strRef>
          </c:tx>
          <c:spPr>
            <a:ln w="28575" cap="rnd">
              <a:solidFill>
                <a:schemeClr val="accent2"/>
              </a:solidFill>
              <a:round/>
            </a:ln>
            <a:effectLst/>
          </c:spPr>
          <c:marker>
            <c:symbol val="none"/>
          </c:marker>
          <c:cat>
            <c:strRef>
              <c:f>'Ave Inc per Spell by Division'!$F$177:$F$189</c:f>
              <c:strCache>
                <c:ptCount val="12"/>
                <c:pt idx="0">
                  <c:v>Month 01-April </c:v>
                </c:pt>
                <c:pt idx="1">
                  <c:v>Month 02-May </c:v>
                </c:pt>
                <c:pt idx="2">
                  <c:v>Month 03-June </c:v>
                </c:pt>
                <c:pt idx="3">
                  <c:v>Month 04-July </c:v>
                </c:pt>
                <c:pt idx="4">
                  <c:v>Month 05-August </c:v>
                </c:pt>
                <c:pt idx="5">
                  <c:v>Month 06-September </c:v>
                </c:pt>
                <c:pt idx="6">
                  <c:v>Month 07-October </c:v>
                </c:pt>
                <c:pt idx="7">
                  <c:v>Month 08-November </c:v>
                </c:pt>
                <c:pt idx="8">
                  <c:v>Month 09-December </c:v>
                </c:pt>
                <c:pt idx="9">
                  <c:v>Month 10-January </c:v>
                </c:pt>
                <c:pt idx="10">
                  <c:v>Month 11-February </c:v>
                </c:pt>
                <c:pt idx="11">
                  <c:v>Month 12-March </c:v>
                </c:pt>
              </c:strCache>
            </c:strRef>
          </c:cat>
          <c:val>
            <c:numRef>
              <c:f>'Ave Inc per Spell by Division'!$H$177:$H$189</c:f>
              <c:numCache>
                <c:formatCode>General</c:formatCode>
                <c:ptCount val="12"/>
                <c:pt idx="0">
                  <c:v>3400.463875255954</c:v>
                </c:pt>
                <c:pt idx="1">
                  <c:v>3181.7566709555681</c:v>
                </c:pt>
                <c:pt idx="2">
                  <c:v>3181.7076779861586</c:v>
                </c:pt>
                <c:pt idx="3">
                  <c:v>3206.7398289695766</c:v>
                </c:pt>
                <c:pt idx="4">
                  <c:v>3194.824121355251</c:v>
                </c:pt>
                <c:pt idx="5">
                  <c:v>3182.060203695296</c:v>
                </c:pt>
                <c:pt idx="6">
                  <c:v>3142.8508202577204</c:v>
                </c:pt>
                <c:pt idx="7">
                  <c:v>#N/A</c:v>
                </c:pt>
                <c:pt idx="8">
                  <c:v>#N/A</c:v>
                </c:pt>
                <c:pt idx="9">
                  <c:v>#N/A</c:v>
                </c:pt>
                <c:pt idx="10">
                  <c:v>#N/A</c:v>
                </c:pt>
                <c:pt idx="11">
                  <c:v>#N/A</c:v>
                </c:pt>
              </c:numCache>
            </c:numRef>
          </c:val>
          <c:smooth val="0"/>
          <c:extLst>
            <c:ext xmlns:c16="http://schemas.microsoft.com/office/drawing/2014/chart" uri="{C3380CC4-5D6E-409C-BE32-E72D297353CC}">
              <c16:uniqueId val="{00000001-AAFB-41C2-8FF5-27BCFAE5F908}"/>
            </c:ext>
          </c:extLst>
        </c:ser>
        <c:dLbls>
          <c:showLegendKey val="0"/>
          <c:showVal val="0"/>
          <c:showCatName val="0"/>
          <c:showSerName val="0"/>
          <c:showPercent val="0"/>
          <c:showBubbleSize val="0"/>
        </c:dLbls>
        <c:smooth val="0"/>
        <c:axId val="1095529664"/>
        <c:axId val="1286420240"/>
      </c:lineChart>
      <c:catAx>
        <c:axId val="109552966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6420240"/>
        <c:crosses val="autoZero"/>
        <c:auto val="1"/>
        <c:lblAlgn val="ctr"/>
        <c:lblOffset val="100"/>
        <c:tickLblSkip val="1"/>
        <c:noMultiLvlLbl val="0"/>
      </c:catAx>
      <c:valAx>
        <c:axId val="1286420240"/>
        <c:scaling>
          <c:orientation val="minMax"/>
          <c:min val="25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55296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[M06 SLA Pivots Reported Position.xlsx]Ave Inc per Spell by Division!PivotTable3</c:name>
    <c:fmtId val="13"/>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s>
    <c:plotArea>
      <c:layout/>
      <c:barChart>
        <c:barDir val="col"/>
        <c:grouping val="clustered"/>
        <c:varyColors val="0"/>
        <c:ser>
          <c:idx val="0"/>
          <c:order val="0"/>
          <c:tx>
            <c:strRef>
              <c:f>'Ave Inc per Spell by Division'!$C$83:$C$84</c:f>
              <c:strCache>
                <c:ptCount val="1"/>
                <c:pt idx="0">
                  <c:v>Sum of 2018-2019 Average per Spell</c:v>
                </c:pt>
              </c:strCache>
            </c:strRef>
          </c:tx>
          <c:spPr>
            <a:solidFill>
              <a:schemeClr val="accent1"/>
            </a:solidFill>
            <a:ln>
              <a:noFill/>
            </a:ln>
            <a:effectLst/>
          </c:spPr>
          <c:invertIfNegative val="0"/>
          <c:cat>
            <c:multiLvlStrRef>
              <c:f>'Ave Inc per Spell by Division'!$A$85:$B$145</c:f>
              <c:multiLvlStrCache>
                <c:ptCount val="60"/>
                <c:lvl>
                  <c:pt idx="0">
                    <c:v>Month 01-April </c:v>
                  </c:pt>
                  <c:pt idx="1">
                    <c:v>Month 02-May </c:v>
                  </c:pt>
                  <c:pt idx="2">
                    <c:v>Month 03-June </c:v>
                  </c:pt>
                  <c:pt idx="3">
                    <c:v>Month 04-July </c:v>
                  </c:pt>
                  <c:pt idx="4">
                    <c:v>Month 05-August </c:v>
                  </c:pt>
                  <c:pt idx="5">
                    <c:v>Month 06-September </c:v>
                  </c:pt>
                  <c:pt idx="6">
                    <c:v>Month 07-October </c:v>
                  </c:pt>
                  <c:pt idx="7">
                    <c:v>Month 08-November </c:v>
                  </c:pt>
                  <c:pt idx="8">
                    <c:v>Month 09-December </c:v>
                  </c:pt>
                  <c:pt idx="9">
                    <c:v>Month 10-January </c:v>
                  </c:pt>
                  <c:pt idx="10">
                    <c:v>Month 11-February </c:v>
                  </c:pt>
                  <c:pt idx="11">
                    <c:v>Month 12-March </c:v>
                  </c:pt>
                  <c:pt idx="12">
                    <c:v>Month 01-April </c:v>
                  </c:pt>
                  <c:pt idx="13">
                    <c:v>Month 02-May </c:v>
                  </c:pt>
                  <c:pt idx="14">
                    <c:v>Month 03-June </c:v>
                  </c:pt>
                  <c:pt idx="15">
                    <c:v>Month 04-July </c:v>
                  </c:pt>
                  <c:pt idx="16">
                    <c:v>Month 05-August </c:v>
                  </c:pt>
                  <c:pt idx="17">
                    <c:v>Month 06-September </c:v>
                  </c:pt>
                  <c:pt idx="18">
                    <c:v>Month 07-October </c:v>
                  </c:pt>
                  <c:pt idx="19">
                    <c:v>Month 08-November </c:v>
                  </c:pt>
                  <c:pt idx="20">
                    <c:v>Month 09-December </c:v>
                  </c:pt>
                  <c:pt idx="21">
                    <c:v>Month 10-January </c:v>
                  </c:pt>
                  <c:pt idx="22">
                    <c:v>Month 11-February </c:v>
                  </c:pt>
                  <c:pt idx="23">
                    <c:v>Month 12-March </c:v>
                  </c:pt>
                  <c:pt idx="24">
                    <c:v>Month 01-April </c:v>
                  </c:pt>
                  <c:pt idx="25">
                    <c:v>Month 02-May </c:v>
                  </c:pt>
                  <c:pt idx="26">
                    <c:v>Month 03-June </c:v>
                  </c:pt>
                  <c:pt idx="27">
                    <c:v>Month 04-July </c:v>
                  </c:pt>
                  <c:pt idx="28">
                    <c:v>Month 05-August </c:v>
                  </c:pt>
                  <c:pt idx="29">
                    <c:v>Month 06-September </c:v>
                  </c:pt>
                  <c:pt idx="30">
                    <c:v>Month 07-October </c:v>
                  </c:pt>
                  <c:pt idx="31">
                    <c:v>Month 08-November </c:v>
                  </c:pt>
                  <c:pt idx="32">
                    <c:v>Month 09-December </c:v>
                  </c:pt>
                  <c:pt idx="33">
                    <c:v>Month 10-January </c:v>
                  </c:pt>
                  <c:pt idx="34">
                    <c:v>Month 11-February </c:v>
                  </c:pt>
                  <c:pt idx="35">
                    <c:v>Month 12-March </c:v>
                  </c:pt>
                  <c:pt idx="36">
                    <c:v>Month 01-April </c:v>
                  </c:pt>
                  <c:pt idx="37">
                    <c:v>Month 02-May </c:v>
                  </c:pt>
                  <c:pt idx="38">
                    <c:v>Month 03-June </c:v>
                  </c:pt>
                  <c:pt idx="39">
                    <c:v>Month 04-July </c:v>
                  </c:pt>
                  <c:pt idx="40">
                    <c:v>Month 05-August </c:v>
                  </c:pt>
                  <c:pt idx="41">
                    <c:v>Month 06-September </c:v>
                  </c:pt>
                  <c:pt idx="42">
                    <c:v>Month 07-October </c:v>
                  </c:pt>
                  <c:pt idx="43">
                    <c:v>Month 08-November </c:v>
                  </c:pt>
                  <c:pt idx="44">
                    <c:v>Month 09-December </c:v>
                  </c:pt>
                  <c:pt idx="45">
                    <c:v>Month 10-January </c:v>
                  </c:pt>
                  <c:pt idx="46">
                    <c:v>Month 11-February </c:v>
                  </c:pt>
                  <c:pt idx="47">
                    <c:v>Month 12-March </c:v>
                  </c:pt>
                  <c:pt idx="48">
                    <c:v>Month 01-April </c:v>
                  </c:pt>
                  <c:pt idx="49">
                    <c:v>Month 02-May </c:v>
                  </c:pt>
                  <c:pt idx="50">
                    <c:v>Month 03-June </c:v>
                  </c:pt>
                  <c:pt idx="51">
                    <c:v>Month 04-July </c:v>
                  </c:pt>
                  <c:pt idx="52">
                    <c:v>Month 05-August </c:v>
                  </c:pt>
                  <c:pt idx="53">
                    <c:v>Month 06-September </c:v>
                  </c:pt>
                  <c:pt idx="54">
                    <c:v>Month 07-October </c:v>
                  </c:pt>
                  <c:pt idx="55">
                    <c:v>Month 08-November </c:v>
                  </c:pt>
                  <c:pt idx="56">
                    <c:v>Month 09-December </c:v>
                  </c:pt>
                  <c:pt idx="57">
                    <c:v>Month 10-January </c:v>
                  </c:pt>
                  <c:pt idx="58">
                    <c:v>Month 11-February </c:v>
                  </c:pt>
                  <c:pt idx="59">
                    <c:v>Month 12-March </c:v>
                  </c:pt>
                </c:lvl>
                <c:lvl>
                  <c:pt idx="0">
                    <c:v>HAREFIELD HOSPITAL HEART</c:v>
                  </c:pt>
                  <c:pt idx="12">
                    <c:v>HAREFIELD HOSPITAL LUNG</c:v>
                  </c:pt>
                  <c:pt idx="24">
                    <c:v>ROYAL BROMPTON HOSPITAL HEART</c:v>
                  </c:pt>
                  <c:pt idx="36">
                    <c:v>ROYAL BROMPTON HOSPITAL LUNG</c:v>
                  </c:pt>
                  <c:pt idx="48">
                    <c:v>Royal Brompton Hospital PAEDS</c:v>
                  </c:pt>
                </c:lvl>
              </c:multiLvlStrCache>
            </c:multiLvlStrRef>
          </c:cat>
          <c:val>
            <c:numRef>
              <c:f>'Ave Inc per Spell by Division'!$C$85:$C$145</c:f>
              <c:numCache>
                <c:formatCode>#,##0.00;[Red]\(#,##0.00\)</c:formatCode>
                <c:ptCount val="60"/>
                <c:pt idx="0">
                  <c:v>4688.9283413896137</c:v>
                </c:pt>
                <c:pt idx="1">
                  <c:v>4337.3801524292194</c:v>
                </c:pt>
                <c:pt idx="2">
                  <c:v>4592.3503359486567</c:v>
                </c:pt>
                <c:pt idx="3">
                  <c:v>4564.4804909908553</c:v>
                </c:pt>
                <c:pt idx="4">
                  <c:v>4470.3742909288057</c:v>
                </c:pt>
                <c:pt idx="5">
                  <c:v>4572.0620896585797</c:v>
                </c:pt>
                <c:pt idx="6">
                  <c:v>4408.9238557542558</c:v>
                </c:pt>
                <c:pt idx="7">
                  <c:v>4551.4946447199418</c:v>
                </c:pt>
                <c:pt idx="8">
                  <c:v>5187.4086717440014</c:v>
                </c:pt>
                <c:pt idx="9">
                  <c:v>4087.1008471979367</c:v>
                </c:pt>
                <c:pt idx="10">
                  <c:v>4493.5210441810668</c:v>
                </c:pt>
                <c:pt idx="11">
                  <c:v>4657.8961986013464</c:v>
                </c:pt>
                <c:pt idx="12">
                  <c:v>2666.0511413727222</c:v>
                </c:pt>
                <c:pt idx="13">
                  <c:v>2686.7214394247676</c:v>
                </c:pt>
                <c:pt idx="14">
                  <c:v>2722.942036768764</c:v>
                </c:pt>
                <c:pt idx="15">
                  <c:v>3191.0426861577898</c:v>
                </c:pt>
                <c:pt idx="16">
                  <c:v>2612.082890562654</c:v>
                </c:pt>
                <c:pt idx="17">
                  <c:v>2498.3459107779136</c:v>
                </c:pt>
                <c:pt idx="18">
                  <c:v>3161.5090938570152</c:v>
                </c:pt>
                <c:pt idx="19">
                  <c:v>2427.4502409468018</c:v>
                </c:pt>
                <c:pt idx="20">
                  <c:v>3126.4037693107734</c:v>
                </c:pt>
                <c:pt idx="21">
                  <c:v>2420.679738961016</c:v>
                </c:pt>
                <c:pt idx="22">
                  <c:v>3119.9785098158113</c:v>
                </c:pt>
                <c:pt idx="23">
                  <c:v>3168.0842240002726</c:v>
                </c:pt>
                <c:pt idx="24">
                  <c:v>4397.1870014137603</c:v>
                </c:pt>
                <c:pt idx="25">
                  <c:v>4428.248642939755</c:v>
                </c:pt>
                <c:pt idx="26">
                  <c:v>4699.1551549946671</c:v>
                </c:pt>
                <c:pt idx="27">
                  <c:v>4838.6948337556169</c:v>
                </c:pt>
                <c:pt idx="28">
                  <c:v>4552.6126920232482</c:v>
                </c:pt>
                <c:pt idx="29">
                  <c:v>4115.0908323609192</c:v>
                </c:pt>
                <c:pt idx="30">
                  <c:v>4853.86095126484</c:v>
                </c:pt>
                <c:pt idx="31">
                  <c:v>4257.7048591267194</c:v>
                </c:pt>
                <c:pt idx="32">
                  <c:v>5379.9906867545724</c:v>
                </c:pt>
                <c:pt idx="33">
                  <c:v>4387.1768629054095</c:v>
                </c:pt>
                <c:pt idx="34">
                  <c:v>4229.3627591732366</c:v>
                </c:pt>
                <c:pt idx="35">
                  <c:v>4704.2882147412874</c:v>
                </c:pt>
                <c:pt idx="36">
                  <c:v>1166.4146461725456</c:v>
                </c:pt>
                <c:pt idx="37">
                  <c:v>1128.8963484352269</c:v>
                </c:pt>
                <c:pt idx="38">
                  <c:v>1179.8974969284502</c:v>
                </c:pt>
                <c:pt idx="39">
                  <c:v>1154.0149709963155</c:v>
                </c:pt>
                <c:pt idx="40">
                  <c:v>1155.1214446882307</c:v>
                </c:pt>
                <c:pt idx="41">
                  <c:v>1065.0181108834186</c:v>
                </c:pt>
                <c:pt idx="42">
                  <c:v>1157.559240363694</c:v>
                </c:pt>
                <c:pt idx="43">
                  <c:v>1171.6394809969972</c:v>
                </c:pt>
                <c:pt idx="44">
                  <c:v>1305.5660762099828</c:v>
                </c:pt>
                <c:pt idx="45">
                  <c:v>1182.860067659994</c:v>
                </c:pt>
                <c:pt idx="46">
                  <c:v>1141.1092569919874</c:v>
                </c:pt>
                <c:pt idx="47">
                  <c:v>1105.0139162628459</c:v>
                </c:pt>
                <c:pt idx="48">
                  <c:v>5980.9047379857248</c:v>
                </c:pt>
                <c:pt idx="49">
                  <c:v>5275.4612314265096</c:v>
                </c:pt>
                <c:pt idx="50">
                  <c:v>5407.1829960202895</c:v>
                </c:pt>
                <c:pt idx="51">
                  <c:v>5141.4989811697405</c:v>
                </c:pt>
                <c:pt idx="52">
                  <c:v>5959.2011351602614</c:v>
                </c:pt>
                <c:pt idx="53">
                  <c:v>5370.6986989877414</c:v>
                </c:pt>
                <c:pt idx="54">
                  <c:v>5021.0729090024051</c:v>
                </c:pt>
                <c:pt idx="55">
                  <c:v>5381.3667050312679</c:v>
                </c:pt>
                <c:pt idx="56">
                  <c:v>5796.7757374295397</c:v>
                </c:pt>
                <c:pt idx="57">
                  <c:v>4289.5265599632912</c:v>
                </c:pt>
                <c:pt idx="58">
                  <c:v>5346.4846959910956</c:v>
                </c:pt>
                <c:pt idx="59">
                  <c:v>5452.3553675203539</c:v>
                </c:pt>
              </c:numCache>
            </c:numRef>
          </c:val>
          <c:extLst>
            <c:ext xmlns:c16="http://schemas.microsoft.com/office/drawing/2014/chart" uri="{C3380CC4-5D6E-409C-BE32-E72D297353CC}">
              <c16:uniqueId val="{00000000-4E5A-4328-9703-38A8CA4AC1B1}"/>
            </c:ext>
          </c:extLst>
        </c:ser>
        <c:ser>
          <c:idx val="1"/>
          <c:order val="1"/>
          <c:tx>
            <c:strRef>
              <c:f>'Ave Inc per Spell by Division'!$D$83:$D$84</c:f>
              <c:strCache>
                <c:ptCount val="1"/>
                <c:pt idx="0">
                  <c:v>Sum of 2019-2020 Average per Spell</c:v>
                </c:pt>
              </c:strCache>
            </c:strRef>
          </c:tx>
          <c:spPr>
            <a:solidFill>
              <a:schemeClr val="accent2"/>
            </a:solidFill>
            <a:ln>
              <a:noFill/>
            </a:ln>
            <a:effectLst/>
          </c:spPr>
          <c:invertIfNegative val="0"/>
          <c:cat>
            <c:multiLvlStrRef>
              <c:f>'Ave Inc per Spell by Division'!$A$85:$B$145</c:f>
              <c:multiLvlStrCache>
                <c:ptCount val="60"/>
                <c:lvl>
                  <c:pt idx="0">
                    <c:v>Month 01-April </c:v>
                  </c:pt>
                  <c:pt idx="1">
                    <c:v>Month 02-May </c:v>
                  </c:pt>
                  <c:pt idx="2">
                    <c:v>Month 03-June </c:v>
                  </c:pt>
                  <c:pt idx="3">
                    <c:v>Month 04-July </c:v>
                  </c:pt>
                  <c:pt idx="4">
                    <c:v>Month 05-August </c:v>
                  </c:pt>
                  <c:pt idx="5">
                    <c:v>Month 06-September </c:v>
                  </c:pt>
                  <c:pt idx="6">
                    <c:v>Month 07-October </c:v>
                  </c:pt>
                  <c:pt idx="7">
                    <c:v>Month 08-November </c:v>
                  </c:pt>
                  <c:pt idx="8">
                    <c:v>Month 09-December </c:v>
                  </c:pt>
                  <c:pt idx="9">
                    <c:v>Month 10-January </c:v>
                  </c:pt>
                  <c:pt idx="10">
                    <c:v>Month 11-February </c:v>
                  </c:pt>
                  <c:pt idx="11">
                    <c:v>Month 12-March </c:v>
                  </c:pt>
                  <c:pt idx="12">
                    <c:v>Month 01-April </c:v>
                  </c:pt>
                  <c:pt idx="13">
                    <c:v>Month 02-May </c:v>
                  </c:pt>
                  <c:pt idx="14">
                    <c:v>Month 03-June </c:v>
                  </c:pt>
                  <c:pt idx="15">
                    <c:v>Month 04-July </c:v>
                  </c:pt>
                  <c:pt idx="16">
                    <c:v>Month 05-August </c:v>
                  </c:pt>
                  <c:pt idx="17">
                    <c:v>Month 06-September </c:v>
                  </c:pt>
                  <c:pt idx="18">
                    <c:v>Month 07-October </c:v>
                  </c:pt>
                  <c:pt idx="19">
                    <c:v>Month 08-November </c:v>
                  </c:pt>
                  <c:pt idx="20">
                    <c:v>Month 09-December </c:v>
                  </c:pt>
                  <c:pt idx="21">
                    <c:v>Month 10-January </c:v>
                  </c:pt>
                  <c:pt idx="22">
                    <c:v>Month 11-February </c:v>
                  </c:pt>
                  <c:pt idx="23">
                    <c:v>Month 12-March </c:v>
                  </c:pt>
                  <c:pt idx="24">
                    <c:v>Month 01-April </c:v>
                  </c:pt>
                  <c:pt idx="25">
                    <c:v>Month 02-May </c:v>
                  </c:pt>
                  <c:pt idx="26">
                    <c:v>Month 03-June </c:v>
                  </c:pt>
                  <c:pt idx="27">
                    <c:v>Month 04-July </c:v>
                  </c:pt>
                  <c:pt idx="28">
                    <c:v>Month 05-August </c:v>
                  </c:pt>
                  <c:pt idx="29">
                    <c:v>Month 06-September </c:v>
                  </c:pt>
                  <c:pt idx="30">
                    <c:v>Month 07-October </c:v>
                  </c:pt>
                  <c:pt idx="31">
                    <c:v>Month 08-November </c:v>
                  </c:pt>
                  <c:pt idx="32">
                    <c:v>Month 09-December </c:v>
                  </c:pt>
                  <c:pt idx="33">
                    <c:v>Month 10-January </c:v>
                  </c:pt>
                  <c:pt idx="34">
                    <c:v>Month 11-February </c:v>
                  </c:pt>
                  <c:pt idx="35">
                    <c:v>Month 12-March </c:v>
                  </c:pt>
                  <c:pt idx="36">
                    <c:v>Month 01-April </c:v>
                  </c:pt>
                  <c:pt idx="37">
                    <c:v>Month 02-May </c:v>
                  </c:pt>
                  <c:pt idx="38">
                    <c:v>Month 03-June </c:v>
                  </c:pt>
                  <c:pt idx="39">
                    <c:v>Month 04-July </c:v>
                  </c:pt>
                  <c:pt idx="40">
                    <c:v>Month 05-August </c:v>
                  </c:pt>
                  <c:pt idx="41">
                    <c:v>Month 06-September </c:v>
                  </c:pt>
                  <c:pt idx="42">
                    <c:v>Month 07-October </c:v>
                  </c:pt>
                  <c:pt idx="43">
                    <c:v>Month 08-November </c:v>
                  </c:pt>
                  <c:pt idx="44">
                    <c:v>Month 09-December </c:v>
                  </c:pt>
                  <c:pt idx="45">
                    <c:v>Month 10-January </c:v>
                  </c:pt>
                  <c:pt idx="46">
                    <c:v>Month 11-February </c:v>
                  </c:pt>
                  <c:pt idx="47">
                    <c:v>Month 12-March </c:v>
                  </c:pt>
                  <c:pt idx="48">
                    <c:v>Month 01-April </c:v>
                  </c:pt>
                  <c:pt idx="49">
                    <c:v>Month 02-May </c:v>
                  </c:pt>
                  <c:pt idx="50">
                    <c:v>Month 03-June </c:v>
                  </c:pt>
                  <c:pt idx="51">
                    <c:v>Month 04-July </c:v>
                  </c:pt>
                  <c:pt idx="52">
                    <c:v>Month 05-August </c:v>
                  </c:pt>
                  <c:pt idx="53">
                    <c:v>Month 06-September </c:v>
                  </c:pt>
                  <c:pt idx="54">
                    <c:v>Month 07-October </c:v>
                  </c:pt>
                  <c:pt idx="55">
                    <c:v>Month 08-November </c:v>
                  </c:pt>
                  <c:pt idx="56">
                    <c:v>Month 09-December </c:v>
                  </c:pt>
                  <c:pt idx="57">
                    <c:v>Month 10-January </c:v>
                  </c:pt>
                  <c:pt idx="58">
                    <c:v>Month 11-February </c:v>
                  </c:pt>
                  <c:pt idx="59">
                    <c:v>Month 12-March </c:v>
                  </c:pt>
                </c:lvl>
                <c:lvl>
                  <c:pt idx="0">
                    <c:v>HAREFIELD HOSPITAL HEART</c:v>
                  </c:pt>
                  <c:pt idx="12">
                    <c:v>HAREFIELD HOSPITAL LUNG</c:v>
                  </c:pt>
                  <c:pt idx="24">
                    <c:v>ROYAL BROMPTON HOSPITAL HEART</c:v>
                  </c:pt>
                  <c:pt idx="36">
                    <c:v>ROYAL BROMPTON HOSPITAL LUNG</c:v>
                  </c:pt>
                  <c:pt idx="48">
                    <c:v>Royal Brompton Hospital PAEDS</c:v>
                  </c:pt>
                </c:lvl>
              </c:multiLvlStrCache>
            </c:multiLvlStrRef>
          </c:cat>
          <c:val>
            <c:numRef>
              <c:f>'Ave Inc per Spell by Division'!$D$85:$D$145</c:f>
              <c:numCache>
                <c:formatCode>#,##0.00;[Red]\(#,##0.00\)</c:formatCode>
                <c:ptCount val="60"/>
                <c:pt idx="0">
                  <c:v>5020.8567427814905</c:v>
                </c:pt>
                <c:pt idx="1">
                  <c:v>4809.0169646605191</c:v>
                </c:pt>
                <c:pt idx="2">
                  <c:v>5046.7100522438577</c:v>
                </c:pt>
                <c:pt idx="3">
                  <c:v>4828.6023196084698</c:v>
                </c:pt>
                <c:pt idx="4">
                  <c:v>5096.7212120247523</c:v>
                </c:pt>
                <c:pt idx="5">
                  <c:v>5022.8599666668251</c:v>
                </c:pt>
                <c:pt idx="6">
                  <c:v>4800.1912095320167</c:v>
                </c:pt>
                <c:pt idx="7">
                  <c:v>#N/A</c:v>
                </c:pt>
                <c:pt idx="8">
                  <c:v>#N/A</c:v>
                </c:pt>
                <c:pt idx="9">
                  <c:v>#N/A</c:v>
                </c:pt>
                <c:pt idx="10">
                  <c:v>#N/A</c:v>
                </c:pt>
                <c:pt idx="11">
                  <c:v>#N/A</c:v>
                </c:pt>
                <c:pt idx="12">
                  <c:v>3780.3478874394773</c:v>
                </c:pt>
                <c:pt idx="13">
                  <c:v>2886.6606693232857</c:v>
                </c:pt>
                <c:pt idx="14">
                  <c:v>3552.2145466647289</c:v>
                </c:pt>
                <c:pt idx="15">
                  <c:v>3415.2842562612013</c:v>
                </c:pt>
                <c:pt idx="16">
                  <c:v>3097.2402036228405</c:v>
                </c:pt>
                <c:pt idx="17">
                  <c:v>3070.5683086032554</c:v>
                </c:pt>
                <c:pt idx="18">
                  <c:v>2603.5098895875758</c:v>
                </c:pt>
                <c:pt idx="19">
                  <c:v>#N/A</c:v>
                </c:pt>
                <c:pt idx="20">
                  <c:v>#N/A</c:v>
                </c:pt>
                <c:pt idx="21">
                  <c:v>#N/A</c:v>
                </c:pt>
                <c:pt idx="22">
                  <c:v>#N/A</c:v>
                </c:pt>
                <c:pt idx="23">
                  <c:v>#N/A</c:v>
                </c:pt>
                <c:pt idx="24">
                  <c:v>5113.330860972208</c:v>
                </c:pt>
                <c:pt idx="25">
                  <c:v>5042.7449403784667</c:v>
                </c:pt>
                <c:pt idx="26">
                  <c:v>4712.6968916810347</c:v>
                </c:pt>
                <c:pt idx="27">
                  <c:v>4976.6884203323525</c:v>
                </c:pt>
                <c:pt idx="28">
                  <c:v>4851.3761751137963</c:v>
                </c:pt>
                <c:pt idx="29">
                  <c:v>5040.4158747939509</c:v>
                </c:pt>
                <c:pt idx="30">
                  <c:v>5229.4366604336938</c:v>
                </c:pt>
                <c:pt idx="31">
                  <c:v>#N/A</c:v>
                </c:pt>
                <c:pt idx="32">
                  <c:v>#N/A</c:v>
                </c:pt>
                <c:pt idx="33">
                  <c:v>#N/A</c:v>
                </c:pt>
                <c:pt idx="34">
                  <c:v>#N/A</c:v>
                </c:pt>
                <c:pt idx="35">
                  <c:v>#N/A</c:v>
                </c:pt>
                <c:pt idx="36">
                  <c:v>1567.1325790181916</c:v>
                </c:pt>
                <c:pt idx="37">
                  <c:v>1413.0414067652828</c:v>
                </c:pt>
                <c:pt idx="38">
                  <c:v>1307.7389985852594</c:v>
                </c:pt>
                <c:pt idx="39">
                  <c:v>1506.9762917845571</c:v>
                </c:pt>
                <c:pt idx="40">
                  <c:v>1471.1886703973214</c:v>
                </c:pt>
                <c:pt idx="41">
                  <c:v>1376.9145950831867</c:v>
                </c:pt>
                <c:pt idx="42">
                  <c:v>1217.2298562492151</c:v>
                </c:pt>
                <c:pt idx="43">
                  <c:v>#N/A</c:v>
                </c:pt>
                <c:pt idx="44">
                  <c:v>#N/A</c:v>
                </c:pt>
                <c:pt idx="45">
                  <c:v>#N/A</c:v>
                </c:pt>
                <c:pt idx="46">
                  <c:v>#N/A</c:v>
                </c:pt>
                <c:pt idx="47">
                  <c:v>#N/A</c:v>
                </c:pt>
                <c:pt idx="48">
                  <c:v>6563.1420257939608</c:v>
                </c:pt>
                <c:pt idx="49">
                  <c:v>5516.4673300643708</c:v>
                </c:pt>
                <c:pt idx="50">
                  <c:v>5165.1719819609916</c:v>
                </c:pt>
                <c:pt idx="51">
                  <c:v>5547.1231835302769</c:v>
                </c:pt>
                <c:pt idx="52">
                  <c:v>4979.44231307889</c:v>
                </c:pt>
                <c:pt idx="53">
                  <c:v>5267.9327335086437</c:v>
                </c:pt>
                <c:pt idx="54">
                  <c:v>5217.1574808154501</c:v>
                </c:pt>
                <c:pt idx="55">
                  <c:v>#N/A</c:v>
                </c:pt>
                <c:pt idx="56">
                  <c:v>#N/A</c:v>
                </c:pt>
                <c:pt idx="57">
                  <c:v>#N/A</c:v>
                </c:pt>
                <c:pt idx="58">
                  <c:v>#N/A</c:v>
                </c:pt>
                <c:pt idx="59">
                  <c:v>#N/A</c:v>
                </c:pt>
              </c:numCache>
            </c:numRef>
          </c:val>
          <c:extLst>
            <c:ext xmlns:c16="http://schemas.microsoft.com/office/drawing/2014/chart" uri="{C3380CC4-5D6E-409C-BE32-E72D297353CC}">
              <c16:uniqueId val="{00000001-4E5A-4328-9703-38A8CA4AC1B1}"/>
            </c:ext>
          </c:extLst>
        </c:ser>
        <c:dLbls>
          <c:showLegendKey val="0"/>
          <c:showVal val="0"/>
          <c:showCatName val="0"/>
          <c:showSerName val="0"/>
          <c:showPercent val="0"/>
          <c:showBubbleSize val="0"/>
        </c:dLbls>
        <c:gapWidth val="219"/>
        <c:overlap val="-27"/>
        <c:axId val="431956048"/>
        <c:axId val="433140320"/>
      </c:barChart>
      <c:catAx>
        <c:axId val="431956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3140320"/>
        <c:crosses val="autoZero"/>
        <c:auto val="1"/>
        <c:lblAlgn val="ctr"/>
        <c:lblOffset val="100"/>
        <c:noMultiLvlLbl val="0"/>
      </c:catAx>
      <c:valAx>
        <c:axId val="433140320"/>
        <c:scaling>
          <c:orientation val="minMax"/>
        </c:scaling>
        <c:delete val="0"/>
        <c:axPos val="l"/>
        <c:majorGridlines>
          <c:spPr>
            <a:ln w="9525" cap="flat" cmpd="sng" algn="ctr">
              <a:solidFill>
                <a:schemeClr val="tx1">
                  <a:lumMod val="15000"/>
                  <a:lumOff val="85000"/>
                </a:schemeClr>
              </a:solidFill>
              <a:round/>
            </a:ln>
            <a:effectLst/>
          </c:spPr>
        </c:majorGridlines>
        <c:numFmt formatCode="#,##0.00;[Red]\(#,##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19560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ECB84-3C31-4D11-9C8C-BEEF110B6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3953</Words>
  <Characters>20386</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Questions that we need to answer each month</vt:lpstr>
    </vt:vector>
  </TitlesOfParts>
  <Company>RBHT</Company>
  <LinksUpToDate>false</LinksUpToDate>
  <CharactersWithSpaces>24291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that we need to answer each month</dc:title>
  <dc:creator>Paterson Richard</dc:creator>
  <cp:lastModifiedBy>Amorin Juanita</cp:lastModifiedBy>
  <cp:revision>4</cp:revision>
  <cp:lastPrinted>2019-11-14T18:42:00Z</cp:lastPrinted>
  <dcterms:created xsi:type="dcterms:W3CDTF">2019-11-15T10:19:00Z</dcterms:created>
  <dcterms:modified xsi:type="dcterms:W3CDTF">2019-11-20T19:07:00Z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916354734</vt:i4>
  </property>
</Properties>
</file>